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3869" w:rsidRPr="007B2905" w:rsidRDefault="002B3869">
      <w:pPr>
        <w:widowControl w:val="0"/>
        <w:spacing w:line="276" w:lineRule="auto"/>
        <w:rPr>
          <w:lang w:val="hr-HR"/>
        </w:rPr>
      </w:pPr>
    </w:p>
    <w:tbl>
      <w:tblPr>
        <w:tblStyle w:val="a"/>
        <w:tblW w:w="9781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5670"/>
        <w:gridCol w:w="2126"/>
      </w:tblGrid>
      <w:tr w:rsidR="002B3869" w:rsidRPr="007B2905">
        <w:trPr>
          <w:trHeight w:val="1680"/>
        </w:trPr>
        <w:tc>
          <w:tcPr>
            <w:tcW w:w="1985" w:type="dxa"/>
            <w:vAlign w:val="center"/>
          </w:tcPr>
          <w:p w:rsidR="002B3869" w:rsidRPr="007B2905" w:rsidRDefault="00140B61">
            <w:pPr>
              <w:ind w:left="-142" w:right="-612"/>
              <w:jc w:val="center"/>
              <w:rPr>
                <w:lang w:val="hr-HR"/>
              </w:rPr>
            </w:pPr>
            <w:r w:rsidRPr="007B2905">
              <w:rPr>
                <w:noProof/>
                <w:lang w:val="hr-HR" w:eastAsia="hr-HR"/>
              </w:rPr>
              <w:drawing>
                <wp:inline distT="0" distB="0" distL="114300" distR="114300">
                  <wp:extent cx="809625" cy="695325"/>
                  <wp:effectExtent l="0" t="0" r="0" b="0"/>
                  <wp:docPr id="2" name="image03.jpg" descr="M_color_L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 descr="M_color_LQ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2B3869" w:rsidRPr="007B2905" w:rsidRDefault="00140B61">
            <w:pPr>
              <w:jc w:val="center"/>
              <w:rPr>
                <w:lang w:val="hr-HR"/>
              </w:rPr>
            </w:pPr>
            <w:r w:rsidRPr="007B2905">
              <w:rPr>
                <w:rFonts w:eastAsia="Verdana"/>
                <w:b/>
                <w:color w:val="A50021"/>
                <w:lang w:val="hr-HR"/>
              </w:rPr>
              <w:t>Sveučilište u Splitu</w:t>
            </w:r>
          </w:p>
          <w:p w:rsidR="002B3869" w:rsidRPr="007B2905" w:rsidRDefault="00140B61">
            <w:pPr>
              <w:jc w:val="center"/>
              <w:rPr>
                <w:lang w:val="hr-HR"/>
              </w:rPr>
            </w:pPr>
            <w:r w:rsidRPr="007B2905">
              <w:rPr>
                <w:rFonts w:eastAsia="Verdana"/>
                <w:b/>
                <w:color w:val="A50021"/>
                <w:lang w:val="hr-HR"/>
              </w:rPr>
              <w:t>Sveučilišno odjel zdravstvenih studija</w:t>
            </w:r>
          </w:p>
          <w:p w:rsidR="002B3869" w:rsidRPr="007B2905" w:rsidRDefault="00140B61">
            <w:pPr>
              <w:jc w:val="center"/>
              <w:rPr>
                <w:lang w:val="hr-HR"/>
              </w:rPr>
            </w:pPr>
            <w:r w:rsidRPr="007B2905">
              <w:rPr>
                <w:rFonts w:eastAsia="Verdana"/>
                <w:color w:val="A50021"/>
                <w:lang w:val="hr-HR"/>
              </w:rPr>
              <w:t>Znanstveno-istraživački rad</w:t>
            </w:r>
          </w:p>
        </w:tc>
        <w:tc>
          <w:tcPr>
            <w:tcW w:w="2126" w:type="dxa"/>
            <w:vAlign w:val="center"/>
          </w:tcPr>
          <w:p w:rsidR="002B3869" w:rsidRPr="007B2905" w:rsidRDefault="00140B61">
            <w:pPr>
              <w:ind w:left="-142" w:right="-612"/>
              <w:jc w:val="center"/>
              <w:rPr>
                <w:lang w:val="hr-HR"/>
              </w:rPr>
            </w:pPr>
            <w:r w:rsidRPr="007B2905">
              <w:rPr>
                <w:noProof/>
                <w:lang w:val="hr-HR" w:eastAsia="hr-HR"/>
              </w:rPr>
              <w:drawing>
                <wp:inline distT="0" distB="0" distL="114300" distR="114300">
                  <wp:extent cx="893445" cy="864870"/>
                  <wp:effectExtent l="0" t="0" r="0" b="0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" cy="8648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869" w:rsidRPr="007B2905">
        <w:trPr>
          <w:trHeight w:val="880"/>
        </w:trPr>
        <w:tc>
          <w:tcPr>
            <w:tcW w:w="9781" w:type="dxa"/>
            <w:gridSpan w:val="3"/>
            <w:vAlign w:val="center"/>
          </w:tcPr>
          <w:p w:rsidR="002B3869" w:rsidRPr="007B2905" w:rsidRDefault="00140B61">
            <w:pPr>
              <w:ind w:left="-142" w:right="-612"/>
              <w:jc w:val="center"/>
              <w:rPr>
                <w:lang w:val="hr-HR"/>
              </w:rPr>
            </w:pPr>
            <w:r w:rsidRPr="007B2905">
              <w:rPr>
                <w:rFonts w:eastAsia="Verdana"/>
                <w:b/>
                <w:color w:val="A50021"/>
                <w:lang w:val="hr-HR"/>
              </w:rPr>
              <w:t>PLAN STUDENTSKOG ISTRAŽIVANJA</w:t>
            </w:r>
          </w:p>
        </w:tc>
      </w:tr>
      <w:tr w:rsidR="002B3869" w:rsidRPr="007B2905">
        <w:trPr>
          <w:trHeight w:val="260"/>
        </w:trPr>
        <w:tc>
          <w:tcPr>
            <w:tcW w:w="1985" w:type="dxa"/>
            <w:vMerge w:val="restart"/>
            <w:tcBorders>
              <w:right w:val="single" w:sz="4" w:space="0" w:color="000000"/>
            </w:tcBorders>
            <w:shd w:val="clear" w:color="auto" w:fill="800000"/>
            <w:vAlign w:val="center"/>
          </w:tcPr>
          <w:p w:rsidR="002B3869" w:rsidRPr="007B2905" w:rsidRDefault="00140B61">
            <w:pPr>
              <w:rPr>
                <w:lang w:val="hr-HR"/>
              </w:rPr>
            </w:pPr>
            <w:r w:rsidRPr="007B2905">
              <w:rPr>
                <w:rFonts w:eastAsia="Verdana"/>
                <w:b/>
                <w:color w:val="FFFFFF"/>
                <w:highlight w:val="darkRed"/>
                <w:lang w:val="hr-HR"/>
              </w:rPr>
              <w:t>Student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869" w:rsidRPr="007B2905" w:rsidRDefault="00140B61">
            <w:pPr>
              <w:rPr>
                <w:lang w:val="hr-HR"/>
              </w:rPr>
            </w:pPr>
            <w:r w:rsidRPr="007B2905">
              <w:rPr>
                <w:rFonts w:eastAsia="Verdana"/>
                <w:b/>
                <w:color w:val="FFFFFF"/>
                <w:highlight w:val="darkRed"/>
                <w:lang w:val="hr-HR"/>
              </w:rPr>
              <w:t>Ime i prezime: Vladimir Bahun</w:t>
            </w:r>
            <w:r w:rsidRPr="007B2905">
              <w:rPr>
                <w:rFonts w:eastAsia="Verdana"/>
                <w:b/>
                <w:color w:val="FFFFFF"/>
                <w:shd w:val="clear" w:color="auto" w:fill="C00000"/>
                <w:lang w:val="hr-HR"/>
              </w:rPr>
              <w:t xml:space="preserve"> </w:t>
            </w:r>
          </w:p>
        </w:tc>
      </w:tr>
      <w:tr w:rsidR="002B3869" w:rsidRPr="007B2905">
        <w:trPr>
          <w:trHeight w:val="260"/>
        </w:trPr>
        <w:tc>
          <w:tcPr>
            <w:tcW w:w="1985" w:type="dxa"/>
            <w:vMerge/>
            <w:tcBorders>
              <w:right w:val="single" w:sz="4" w:space="0" w:color="000000"/>
            </w:tcBorders>
            <w:shd w:val="clear" w:color="auto" w:fill="800000"/>
            <w:vAlign w:val="center"/>
          </w:tcPr>
          <w:p w:rsidR="002B3869" w:rsidRPr="007B2905" w:rsidRDefault="002B3869">
            <w:pPr>
              <w:rPr>
                <w:lang w:val="hr-HR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869" w:rsidRPr="007B2905" w:rsidRDefault="00140B61">
            <w:pPr>
              <w:rPr>
                <w:lang w:val="hr-HR"/>
              </w:rPr>
            </w:pPr>
            <w:r w:rsidRPr="007B2905">
              <w:rPr>
                <w:rFonts w:eastAsia="Verdana"/>
                <w:b/>
                <w:color w:val="FFFFFF"/>
                <w:highlight w:val="darkRed"/>
                <w:lang w:val="hr-HR"/>
              </w:rPr>
              <w:t>Diplomski studij: Radiološke tehnologije</w:t>
            </w:r>
          </w:p>
        </w:tc>
      </w:tr>
      <w:tr w:rsidR="002B3869" w:rsidRPr="007B2905">
        <w:trPr>
          <w:trHeight w:val="240"/>
        </w:trPr>
        <w:tc>
          <w:tcPr>
            <w:tcW w:w="1985" w:type="dxa"/>
            <w:vMerge/>
            <w:tcBorders>
              <w:right w:val="single" w:sz="4" w:space="0" w:color="000000"/>
            </w:tcBorders>
            <w:shd w:val="clear" w:color="auto" w:fill="800000"/>
            <w:vAlign w:val="center"/>
          </w:tcPr>
          <w:p w:rsidR="002B3869" w:rsidRPr="007B2905" w:rsidRDefault="002B3869">
            <w:pPr>
              <w:rPr>
                <w:lang w:val="hr-HR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869" w:rsidRPr="007B2905" w:rsidRDefault="00140B61">
            <w:pPr>
              <w:rPr>
                <w:lang w:val="hr-HR"/>
              </w:rPr>
            </w:pPr>
            <w:r w:rsidRPr="007B2905">
              <w:rPr>
                <w:rFonts w:eastAsia="Verdana"/>
                <w:b/>
                <w:color w:val="FFFFFF"/>
                <w:highlight w:val="darkRed"/>
                <w:lang w:val="hr-HR"/>
              </w:rPr>
              <w:t xml:space="preserve">e-adresa: vladimir@bahun.com </w:t>
            </w:r>
          </w:p>
        </w:tc>
      </w:tr>
      <w:tr w:rsidR="002B3869" w:rsidRPr="007B2905">
        <w:trPr>
          <w:trHeight w:val="200"/>
        </w:trPr>
        <w:tc>
          <w:tcPr>
            <w:tcW w:w="1985" w:type="dxa"/>
            <w:vMerge w:val="restart"/>
            <w:tcBorders>
              <w:right w:val="single" w:sz="4" w:space="0" w:color="000000"/>
            </w:tcBorders>
            <w:shd w:val="clear" w:color="auto" w:fill="800000"/>
            <w:vAlign w:val="center"/>
          </w:tcPr>
          <w:p w:rsidR="002B3869" w:rsidRPr="007B2905" w:rsidRDefault="00140B61">
            <w:pPr>
              <w:rPr>
                <w:lang w:val="hr-HR"/>
              </w:rPr>
            </w:pPr>
            <w:r w:rsidRPr="007B2905">
              <w:rPr>
                <w:rFonts w:eastAsia="Verdana"/>
                <w:b/>
                <w:color w:val="FFFFFF"/>
                <w:highlight w:val="darkRed"/>
                <w:lang w:val="hr-HR"/>
              </w:rPr>
              <w:t>Mentor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869" w:rsidRPr="007B2905" w:rsidRDefault="00140B61">
            <w:pPr>
              <w:rPr>
                <w:lang w:val="hr-HR"/>
              </w:rPr>
            </w:pPr>
            <w:r w:rsidRPr="007B2905">
              <w:rPr>
                <w:rFonts w:eastAsia="Verdana"/>
                <w:b/>
                <w:color w:val="FFFFFF"/>
                <w:highlight w:val="darkRed"/>
                <w:lang w:val="hr-HR"/>
              </w:rPr>
              <w:t xml:space="preserve">Ime i prezime: doc. dr. sc. </w:t>
            </w:r>
            <w:proofErr w:type="spellStart"/>
            <w:r w:rsidRPr="007B2905">
              <w:rPr>
                <w:rFonts w:eastAsia="Verdana"/>
                <w:b/>
                <w:color w:val="FFFFFF"/>
                <w:highlight w:val="darkRed"/>
                <w:lang w:val="hr-HR"/>
              </w:rPr>
              <w:t>Tade</w:t>
            </w:r>
            <w:proofErr w:type="spellEnd"/>
            <w:r w:rsidRPr="007B2905">
              <w:rPr>
                <w:rFonts w:eastAsia="Verdana"/>
                <w:b/>
                <w:color w:val="FFFFFF"/>
                <w:highlight w:val="darkRed"/>
                <w:lang w:val="hr-HR"/>
              </w:rPr>
              <w:t xml:space="preserve"> Tadić</w:t>
            </w:r>
          </w:p>
        </w:tc>
      </w:tr>
      <w:tr w:rsidR="002B3869" w:rsidRPr="007B2905">
        <w:trPr>
          <w:trHeight w:val="200"/>
        </w:trPr>
        <w:tc>
          <w:tcPr>
            <w:tcW w:w="1985" w:type="dxa"/>
            <w:vMerge/>
            <w:tcBorders>
              <w:right w:val="single" w:sz="4" w:space="0" w:color="000000"/>
            </w:tcBorders>
            <w:shd w:val="clear" w:color="auto" w:fill="800000"/>
            <w:vAlign w:val="center"/>
          </w:tcPr>
          <w:p w:rsidR="002B3869" w:rsidRPr="007B2905" w:rsidRDefault="002B3869">
            <w:pPr>
              <w:rPr>
                <w:lang w:val="hr-HR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869" w:rsidRPr="007B2905" w:rsidRDefault="00140B61">
            <w:pPr>
              <w:rPr>
                <w:lang w:val="hr-HR"/>
              </w:rPr>
            </w:pPr>
            <w:r w:rsidRPr="007B2905">
              <w:rPr>
                <w:rFonts w:eastAsia="Verdana"/>
                <w:b/>
                <w:color w:val="FFFFFF"/>
                <w:highlight w:val="darkRed"/>
                <w:lang w:val="hr-HR"/>
              </w:rPr>
              <w:t>Katedra, klinika, odjel: Katedra za medicinsku radiologiju Medicinskog fakulteta u Splitu</w:t>
            </w:r>
          </w:p>
        </w:tc>
      </w:tr>
      <w:tr w:rsidR="002B3869" w:rsidRPr="007B2905">
        <w:trPr>
          <w:trHeight w:val="180"/>
        </w:trPr>
        <w:tc>
          <w:tcPr>
            <w:tcW w:w="1985" w:type="dxa"/>
            <w:vMerge/>
            <w:tcBorders>
              <w:right w:val="single" w:sz="4" w:space="0" w:color="000000"/>
            </w:tcBorders>
            <w:shd w:val="clear" w:color="auto" w:fill="800000"/>
            <w:vAlign w:val="center"/>
          </w:tcPr>
          <w:p w:rsidR="002B3869" w:rsidRPr="007B2905" w:rsidRDefault="002B3869">
            <w:pPr>
              <w:rPr>
                <w:lang w:val="hr-HR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869" w:rsidRPr="007B2905" w:rsidRDefault="00140B61">
            <w:pPr>
              <w:rPr>
                <w:lang w:val="hr-HR"/>
              </w:rPr>
            </w:pPr>
            <w:r w:rsidRPr="007B2905">
              <w:rPr>
                <w:rFonts w:eastAsia="Verdana"/>
                <w:b/>
                <w:color w:val="FFFFFF"/>
                <w:highlight w:val="darkRed"/>
                <w:lang w:val="hr-HR"/>
              </w:rPr>
              <w:t xml:space="preserve">e-adresa: tade.tadic@st.htnet.hr </w:t>
            </w:r>
          </w:p>
        </w:tc>
      </w:tr>
      <w:tr w:rsidR="002B3869" w:rsidRPr="007B2905">
        <w:trPr>
          <w:trHeight w:val="420"/>
        </w:trPr>
        <w:tc>
          <w:tcPr>
            <w:tcW w:w="9781" w:type="dxa"/>
            <w:gridSpan w:val="3"/>
            <w:vAlign w:val="center"/>
          </w:tcPr>
          <w:p w:rsidR="002B3869" w:rsidRPr="007B2905" w:rsidRDefault="00140B61">
            <w:pPr>
              <w:rPr>
                <w:lang w:val="hr-HR"/>
              </w:rPr>
            </w:pPr>
            <w:r w:rsidRPr="007B2905">
              <w:rPr>
                <w:rFonts w:eastAsia="Verdana"/>
                <w:b/>
                <w:lang w:val="hr-HR"/>
              </w:rPr>
              <w:t>1. Naslov</w:t>
            </w:r>
          </w:p>
          <w:p w:rsidR="002B3869" w:rsidRPr="007B2905" w:rsidRDefault="00242501">
            <w:pPr>
              <w:jc w:val="both"/>
              <w:rPr>
                <w:lang w:val="hr-HR"/>
              </w:rPr>
            </w:pPr>
            <w:r w:rsidRPr="007B2905">
              <w:rPr>
                <w:rFonts w:eastAsia="Verdana"/>
                <w:lang w:val="hr-HR"/>
              </w:rPr>
              <w:t xml:space="preserve">Uporaba </w:t>
            </w:r>
            <w:r w:rsidR="00140B61" w:rsidRPr="007B2905">
              <w:rPr>
                <w:rFonts w:eastAsia="Verdana"/>
                <w:lang w:val="hr-HR"/>
              </w:rPr>
              <w:t>napona rendgenske cijevi od 80</w:t>
            </w:r>
            <w:r w:rsidR="00F3428C" w:rsidRPr="007B2905">
              <w:rPr>
                <w:rFonts w:eastAsia="Verdana"/>
                <w:lang w:val="hr-HR"/>
              </w:rPr>
              <w:t xml:space="preserve"> </w:t>
            </w:r>
            <w:r w:rsidR="00140B61" w:rsidRPr="007B2905">
              <w:rPr>
                <w:rFonts w:eastAsia="Verdana"/>
                <w:lang w:val="hr-HR"/>
              </w:rPr>
              <w:t>kV umjesto 120</w:t>
            </w:r>
            <w:r w:rsidR="00F3428C" w:rsidRPr="007B2905">
              <w:rPr>
                <w:rFonts w:eastAsia="Verdana"/>
                <w:lang w:val="hr-HR"/>
              </w:rPr>
              <w:t xml:space="preserve"> </w:t>
            </w:r>
            <w:r w:rsidR="00140B61" w:rsidRPr="007B2905">
              <w:rPr>
                <w:rFonts w:eastAsia="Verdana"/>
                <w:lang w:val="hr-HR"/>
              </w:rPr>
              <w:t xml:space="preserve">kV </w:t>
            </w:r>
            <w:r w:rsidR="00E328B8" w:rsidRPr="007B2905">
              <w:rPr>
                <w:rFonts w:eastAsia="Verdana"/>
                <w:lang w:val="hr-HR"/>
              </w:rPr>
              <w:t xml:space="preserve">pri </w:t>
            </w:r>
            <w:r w:rsidR="00EE4B25" w:rsidRPr="007B2905">
              <w:rPr>
                <w:rFonts w:eastAsia="Verdana"/>
                <w:lang w:val="hr-HR"/>
              </w:rPr>
              <w:t xml:space="preserve">angiografiji donjih </w:t>
            </w:r>
            <w:r w:rsidR="005C7C99" w:rsidRPr="007B2905">
              <w:rPr>
                <w:rFonts w:eastAsia="Verdana"/>
                <w:lang w:val="hr-HR"/>
              </w:rPr>
              <w:t xml:space="preserve">udova </w:t>
            </w:r>
            <w:r w:rsidR="00EE4B25" w:rsidRPr="007B2905">
              <w:rPr>
                <w:rFonts w:eastAsia="Verdana"/>
                <w:lang w:val="hr-HR"/>
              </w:rPr>
              <w:t>64-slojnom računalnom tomografijom</w:t>
            </w:r>
            <w:r w:rsidR="00F3428C" w:rsidRPr="007B2905">
              <w:rPr>
                <w:rFonts w:eastAsia="Verdana"/>
                <w:lang w:val="hr-HR"/>
              </w:rPr>
              <w:t xml:space="preserve"> –</w:t>
            </w:r>
            <w:r w:rsidR="00140B61" w:rsidRPr="007B2905">
              <w:rPr>
                <w:rFonts w:eastAsia="Verdana"/>
                <w:lang w:val="hr-HR"/>
              </w:rPr>
              <w:t xml:space="preserve"> utjecaj na dozu i kvalitetu snimke</w:t>
            </w:r>
            <w:r w:rsidR="005C7C99" w:rsidRPr="007B2905">
              <w:rPr>
                <w:rFonts w:eastAsia="Verdana"/>
                <w:lang w:val="hr-HR"/>
              </w:rPr>
              <w:t>:</w:t>
            </w:r>
            <w:r w:rsidR="00140B61" w:rsidRPr="007B2905">
              <w:rPr>
                <w:rFonts w:eastAsia="Verdana"/>
                <w:lang w:val="hr-HR"/>
              </w:rPr>
              <w:t xml:space="preserve"> kohortno istraživanje</w:t>
            </w:r>
          </w:p>
          <w:p w:rsidR="002B3869" w:rsidRPr="007B2905" w:rsidRDefault="002B3869">
            <w:pPr>
              <w:jc w:val="both"/>
              <w:rPr>
                <w:lang w:val="hr-HR"/>
              </w:rPr>
            </w:pPr>
          </w:p>
        </w:tc>
      </w:tr>
      <w:tr w:rsidR="002B3869" w:rsidRPr="007B2905">
        <w:trPr>
          <w:trHeight w:val="420"/>
        </w:trPr>
        <w:tc>
          <w:tcPr>
            <w:tcW w:w="9781" w:type="dxa"/>
            <w:gridSpan w:val="3"/>
            <w:vAlign w:val="center"/>
          </w:tcPr>
          <w:p w:rsidR="002B3869" w:rsidRPr="007B2905" w:rsidRDefault="00140B61">
            <w:pPr>
              <w:rPr>
                <w:lang w:val="hr-HR"/>
              </w:rPr>
            </w:pPr>
            <w:r w:rsidRPr="007B2905">
              <w:rPr>
                <w:rFonts w:eastAsia="Verdana"/>
                <w:b/>
                <w:lang w:val="hr-HR"/>
              </w:rPr>
              <w:t>2. Teoretska osnova istraživanja</w:t>
            </w:r>
          </w:p>
          <w:p w:rsidR="002B3869" w:rsidRPr="007B2905" w:rsidRDefault="00140B61">
            <w:pPr>
              <w:jc w:val="both"/>
              <w:rPr>
                <w:lang w:val="hr-HR"/>
              </w:rPr>
            </w:pPr>
            <w:r w:rsidRPr="007B2905">
              <w:rPr>
                <w:rFonts w:eastAsia="Verdana"/>
                <w:lang w:val="hr-HR"/>
              </w:rPr>
              <w:t>Bolest perifernih arterija u općoj se populaciji može pronaći u 4</w:t>
            </w:r>
            <w:r w:rsidR="00BA62A0" w:rsidRPr="007B2905">
              <w:rPr>
                <w:rFonts w:eastAsia="Verdana"/>
                <w:lang w:val="hr-HR"/>
              </w:rPr>
              <w:t xml:space="preserve"> </w:t>
            </w:r>
            <w:r w:rsidRPr="007B2905">
              <w:rPr>
                <w:rFonts w:eastAsia="Verdana"/>
                <w:lang w:val="hr-HR"/>
              </w:rPr>
              <w:t>% do 12</w:t>
            </w:r>
            <w:r w:rsidR="00BA62A0" w:rsidRPr="007B2905">
              <w:rPr>
                <w:rFonts w:eastAsia="Verdana"/>
                <w:lang w:val="hr-HR"/>
              </w:rPr>
              <w:t xml:space="preserve"> </w:t>
            </w:r>
            <w:r w:rsidRPr="007B2905">
              <w:rPr>
                <w:rFonts w:eastAsia="Verdana"/>
                <w:lang w:val="hr-HR"/>
              </w:rPr>
              <w:t xml:space="preserve">% ljudi starosti </w:t>
            </w:r>
            <w:r w:rsidR="00433550" w:rsidRPr="007B2905">
              <w:rPr>
                <w:rFonts w:eastAsia="Verdana"/>
                <w:lang w:val="hr-HR"/>
              </w:rPr>
              <w:t>između 55</w:t>
            </w:r>
            <w:r w:rsidR="0045154D" w:rsidRPr="007B2905">
              <w:rPr>
                <w:rFonts w:eastAsia="Verdana"/>
                <w:lang w:val="hr-HR"/>
              </w:rPr>
              <w:t xml:space="preserve"> i 70 </w:t>
            </w:r>
            <w:r w:rsidRPr="007B2905">
              <w:rPr>
                <w:rFonts w:eastAsia="Verdana"/>
                <w:lang w:val="hr-HR"/>
              </w:rPr>
              <w:t xml:space="preserve">godina </w:t>
            </w:r>
            <w:r w:rsidR="002862BE" w:rsidRPr="007B2905">
              <w:rPr>
                <w:rFonts w:eastAsia="Verdana"/>
                <w:lang w:val="hr-HR"/>
              </w:rPr>
              <w:t>te u 15</w:t>
            </w:r>
            <w:r w:rsidR="00BA62A0" w:rsidRPr="007B2905">
              <w:rPr>
                <w:rFonts w:eastAsia="Verdana"/>
                <w:lang w:val="hr-HR"/>
              </w:rPr>
              <w:t xml:space="preserve"> % do</w:t>
            </w:r>
            <w:r w:rsidR="002862BE" w:rsidRPr="007B2905">
              <w:rPr>
                <w:rFonts w:eastAsia="Verdana"/>
                <w:lang w:val="hr-HR"/>
              </w:rPr>
              <w:t xml:space="preserve"> </w:t>
            </w:r>
            <w:r w:rsidRPr="007B2905">
              <w:rPr>
                <w:rFonts w:eastAsia="Verdana"/>
                <w:lang w:val="hr-HR"/>
              </w:rPr>
              <w:t>20</w:t>
            </w:r>
            <w:r w:rsidR="00BA62A0" w:rsidRPr="007B2905">
              <w:rPr>
                <w:rFonts w:eastAsia="Verdana"/>
                <w:lang w:val="hr-HR"/>
              </w:rPr>
              <w:t xml:space="preserve"> </w:t>
            </w:r>
            <w:r w:rsidRPr="007B2905">
              <w:rPr>
                <w:rFonts w:eastAsia="Verdana"/>
                <w:lang w:val="hr-HR"/>
              </w:rPr>
              <w:t>% ljud</w:t>
            </w:r>
            <w:r w:rsidR="00266203" w:rsidRPr="007B2905">
              <w:rPr>
                <w:rFonts w:eastAsia="Verdana"/>
                <w:lang w:val="hr-HR"/>
              </w:rPr>
              <w:t>i starijih od 70 godina [1][2]. Angiografija višeslojnom računalnom tomografijom</w:t>
            </w:r>
            <w:r w:rsidRPr="007B2905">
              <w:rPr>
                <w:rFonts w:eastAsia="Verdana"/>
                <w:lang w:val="hr-HR"/>
              </w:rPr>
              <w:t xml:space="preserve"> dijagnostička je metoda bolesti perifernih arterija visoke specifičnosti i </w:t>
            </w:r>
            <w:r w:rsidR="005D333C" w:rsidRPr="007B2905">
              <w:rPr>
                <w:rFonts w:eastAsia="Verdana"/>
                <w:lang w:val="hr-HR"/>
              </w:rPr>
              <w:t xml:space="preserve">osjetljivosti </w:t>
            </w:r>
            <w:r w:rsidRPr="007B2905">
              <w:rPr>
                <w:rFonts w:eastAsia="Verdana"/>
                <w:lang w:val="hr-HR"/>
              </w:rPr>
              <w:t>(94</w:t>
            </w:r>
            <w:r w:rsidR="00D66A98" w:rsidRPr="007B2905">
              <w:rPr>
                <w:rFonts w:eastAsia="Verdana"/>
                <w:lang w:val="hr-HR"/>
              </w:rPr>
              <w:t xml:space="preserve"> </w:t>
            </w:r>
            <w:r w:rsidR="00266203" w:rsidRPr="007B2905">
              <w:rPr>
                <w:rFonts w:eastAsia="Verdana"/>
                <w:lang w:val="hr-HR"/>
              </w:rPr>
              <w:t>-</w:t>
            </w:r>
            <w:r w:rsidR="00D66A98" w:rsidRPr="007B2905">
              <w:rPr>
                <w:rFonts w:eastAsia="Verdana"/>
                <w:lang w:val="hr-HR"/>
              </w:rPr>
              <w:t xml:space="preserve"> </w:t>
            </w:r>
            <w:r w:rsidRPr="007B2905">
              <w:rPr>
                <w:rFonts w:eastAsia="Verdana"/>
                <w:lang w:val="hr-HR"/>
              </w:rPr>
              <w:t>100</w:t>
            </w:r>
            <w:r w:rsidR="00BA62A0" w:rsidRPr="007B2905">
              <w:rPr>
                <w:rFonts w:eastAsia="Verdana"/>
                <w:lang w:val="hr-HR"/>
              </w:rPr>
              <w:t xml:space="preserve"> </w:t>
            </w:r>
            <w:r w:rsidRPr="007B2905">
              <w:rPr>
                <w:rFonts w:eastAsia="Verdana"/>
                <w:lang w:val="hr-HR"/>
              </w:rPr>
              <w:t xml:space="preserve">%), a koristi se uglavnom prije početka interventnog liječenja [3]. Posljednja istraživanja navode </w:t>
            </w:r>
            <w:r w:rsidR="00266203" w:rsidRPr="007B2905">
              <w:rPr>
                <w:rFonts w:eastAsia="Verdana"/>
                <w:lang w:val="hr-HR"/>
              </w:rPr>
              <w:t xml:space="preserve">angiografiju donjih </w:t>
            </w:r>
            <w:r w:rsidR="00242501" w:rsidRPr="007B2905">
              <w:rPr>
                <w:rFonts w:eastAsia="Verdana"/>
                <w:lang w:val="hr-HR"/>
              </w:rPr>
              <w:t>udova</w:t>
            </w:r>
            <w:r w:rsidR="00266203" w:rsidRPr="007B2905">
              <w:rPr>
                <w:rFonts w:eastAsia="Verdana"/>
                <w:lang w:val="hr-HR"/>
              </w:rPr>
              <w:t xml:space="preserve"> višeslojnom računalnom tomografijom </w:t>
            </w:r>
            <w:r w:rsidRPr="007B2905">
              <w:rPr>
                <w:rFonts w:eastAsia="Verdana"/>
                <w:lang w:val="hr-HR"/>
              </w:rPr>
              <w:t xml:space="preserve">kao dijagnostičku metodu izbora u pacijenata </w:t>
            </w:r>
            <w:r w:rsidR="001E0BFB" w:rsidRPr="007B2905">
              <w:rPr>
                <w:rFonts w:eastAsia="Verdana"/>
                <w:lang w:val="hr-HR"/>
              </w:rPr>
              <w:t xml:space="preserve">u </w:t>
            </w:r>
            <w:r w:rsidRPr="007B2905">
              <w:rPr>
                <w:rFonts w:eastAsia="Verdana"/>
                <w:lang w:val="hr-HR"/>
              </w:rPr>
              <w:t xml:space="preserve">kojih je na osnovu povijesti bolesti ili </w:t>
            </w:r>
            <w:r w:rsidR="00266203" w:rsidRPr="007B2905">
              <w:rPr>
                <w:rFonts w:eastAsia="Verdana"/>
                <w:lang w:val="hr-HR"/>
              </w:rPr>
              <w:t xml:space="preserve">pregleda ultrazvukom </w:t>
            </w:r>
            <w:r w:rsidRPr="007B2905">
              <w:rPr>
                <w:rFonts w:eastAsia="Verdana"/>
                <w:lang w:val="hr-HR"/>
              </w:rPr>
              <w:t xml:space="preserve">postavljena sumnja na perifernu bolest arterija u </w:t>
            </w:r>
            <w:proofErr w:type="spellStart"/>
            <w:r w:rsidRPr="007B2905">
              <w:rPr>
                <w:rFonts w:eastAsia="Verdana"/>
                <w:lang w:val="hr-HR"/>
              </w:rPr>
              <w:t>infrapoplitealnoj</w:t>
            </w:r>
            <w:proofErr w:type="spellEnd"/>
            <w:r w:rsidRPr="007B2905">
              <w:rPr>
                <w:rFonts w:eastAsia="Verdana"/>
                <w:lang w:val="hr-HR"/>
              </w:rPr>
              <w:t xml:space="preserve"> regiji [4].</w:t>
            </w:r>
          </w:p>
          <w:p w:rsidR="002B3869" w:rsidRPr="007B2905" w:rsidRDefault="00140B61">
            <w:pPr>
              <w:jc w:val="both"/>
              <w:rPr>
                <w:lang w:val="hr-HR"/>
              </w:rPr>
            </w:pPr>
            <w:r w:rsidRPr="007B2905">
              <w:rPr>
                <w:rFonts w:eastAsia="Verdana"/>
                <w:lang w:val="hr-HR"/>
              </w:rPr>
              <w:t xml:space="preserve">Ukupno gledajući, veći broj </w:t>
            </w:r>
            <w:r w:rsidR="0045154D" w:rsidRPr="007B2905">
              <w:rPr>
                <w:rFonts w:eastAsia="Verdana"/>
                <w:lang w:val="hr-HR"/>
              </w:rPr>
              <w:t xml:space="preserve">pregleda </w:t>
            </w:r>
            <w:r w:rsidR="002D1E06" w:rsidRPr="007B2905">
              <w:rPr>
                <w:rFonts w:eastAsia="Verdana"/>
                <w:lang w:val="hr-HR"/>
              </w:rPr>
              <w:t>računalnom tomografijom</w:t>
            </w:r>
            <w:r w:rsidR="0045154D" w:rsidRPr="007B2905">
              <w:rPr>
                <w:rFonts w:eastAsia="Verdana"/>
                <w:lang w:val="hr-HR"/>
              </w:rPr>
              <w:t xml:space="preserve"> </w:t>
            </w:r>
            <w:r w:rsidRPr="007B2905">
              <w:rPr>
                <w:rFonts w:eastAsia="Verdana"/>
                <w:lang w:val="hr-HR"/>
              </w:rPr>
              <w:t>pri</w:t>
            </w:r>
            <w:r w:rsidR="005C7C99" w:rsidRPr="007B2905">
              <w:rPr>
                <w:rFonts w:eastAsia="Verdana"/>
                <w:lang w:val="hr-HR"/>
              </w:rPr>
              <w:t>do</w:t>
            </w:r>
            <w:r w:rsidRPr="007B2905">
              <w:rPr>
                <w:rFonts w:eastAsia="Verdana"/>
                <w:lang w:val="hr-HR"/>
              </w:rPr>
              <w:t>nosi i većem</w:t>
            </w:r>
            <w:r w:rsidR="002D1E06" w:rsidRPr="007B2905">
              <w:rPr>
                <w:rFonts w:eastAsia="Verdana"/>
                <w:lang w:val="hr-HR"/>
              </w:rPr>
              <w:t xml:space="preserve"> </w:t>
            </w:r>
            <w:proofErr w:type="spellStart"/>
            <w:r w:rsidR="002D1E06" w:rsidRPr="007B2905">
              <w:rPr>
                <w:rFonts w:eastAsia="Verdana"/>
                <w:lang w:val="hr-HR"/>
              </w:rPr>
              <w:t>ozračenju</w:t>
            </w:r>
            <w:proofErr w:type="spellEnd"/>
            <w:r w:rsidR="002D1E06" w:rsidRPr="007B2905">
              <w:rPr>
                <w:rFonts w:eastAsia="Verdana"/>
                <w:lang w:val="hr-HR"/>
              </w:rPr>
              <w:t xml:space="preserve"> populacije [5], a </w:t>
            </w:r>
            <w:r w:rsidRPr="007B2905">
              <w:rPr>
                <w:rFonts w:eastAsia="Verdana"/>
                <w:lang w:val="hr-HR"/>
              </w:rPr>
              <w:t xml:space="preserve">pregledi </w:t>
            </w:r>
            <w:r w:rsidR="002D1E06" w:rsidRPr="007B2905">
              <w:rPr>
                <w:rFonts w:eastAsia="Verdana"/>
                <w:lang w:val="hr-HR"/>
              </w:rPr>
              <w:t xml:space="preserve">računalnom tomografijom </w:t>
            </w:r>
            <w:r w:rsidRPr="007B2905">
              <w:rPr>
                <w:rFonts w:eastAsia="Verdana"/>
                <w:lang w:val="hr-HR"/>
              </w:rPr>
              <w:t xml:space="preserve">smatraju se </w:t>
            </w:r>
            <w:r w:rsidR="009B68B9" w:rsidRPr="007B2905">
              <w:rPr>
                <w:rFonts w:eastAsia="Verdana"/>
                <w:lang w:val="hr-HR"/>
              </w:rPr>
              <w:t xml:space="preserve">važnim </w:t>
            </w:r>
            <w:r w:rsidRPr="007B2905">
              <w:rPr>
                <w:rFonts w:eastAsia="Verdana"/>
                <w:lang w:val="hr-HR"/>
              </w:rPr>
              <w:t xml:space="preserve">čimbenikom u ukupnom </w:t>
            </w:r>
            <w:proofErr w:type="spellStart"/>
            <w:r w:rsidRPr="007B2905">
              <w:rPr>
                <w:rFonts w:eastAsia="Verdana"/>
                <w:lang w:val="hr-HR"/>
              </w:rPr>
              <w:t>ozračenju</w:t>
            </w:r>
            <w:proofErr w:type="spellEnd"/>
            <w:r w:rsidRPr="007B2905">
              <w:rPr>
                <w:rFonts w:eastAsia="Verdana"/>
                <w:lang w:val="hr-HR"/>
              </w:rPr>
              <w:t xml:space="preserve"> populacije iz medicinskih izvora [6][7]. </w:t>
            </w:r>
            <w:r w:rsidR="005C7C99" w:rsidRPr="007B2905">
              <w:rPr>
                <w:rFonts w:eastAsia="Verdana"/>
                <w:lang w:val="hr-HR"/>
              </w:rPr>
              <w:t xml:space="preserve">Zbog </w:t>
            </w:r>
            <w:r w:rsidR="00242501" w:rsidRPr="007B2905">
              <w:rPr>
                <w:rFonts w:eastAsia="Verdana"/>
                <w:lang w:val="hr-HR"/>
              </w:rPr>
              <w:t>t</w:t>
            </w:r>
            <w:r w:rsidRPr="007B2905">
              <w:rPr>
                <w:rFonts w:eastAsia="Verdana"/>
                <w:lang w:val="hr-HR"/>
              </w:rPr>
              <w:t>ih razloga</w:t>
            </w:r>
            <w:r w:rsidR="005408A5" w:rsidRPr="007B2905">
              <w:rPr>
                <w:rFonts w:eastAsia="Verdana"/>
                <w:lang w:val="hr-HR"/>
              </w:rPr>
              <w:t>,</w:t>
            </w:r>
            <w:r w:rsidRPr="007B2905">
              <w:rPr>
                <w:rFonts w:eastAsia="Verdana"/>
                <w:lang w:val="hr-HR"/>
              </w:rPr>
              <w:t xml:space="preserve"> </w:t>
            </w:r>
            <w:r w:rsidR="00BE0E6A" w:rsidRPr="007B2905">
              <w:rPr>
                <w:rFonts w:eastAsia="Verdana"/>
                <w:lang w:val="hr-HR"/>
              </w:rPr>
              <w:t xml:space="preserve">dobrodošao </w:t>
            </w:r>
            <w:r w:rsidRPr="007B2905">
              <w:rPr>
                <w:rFonts w:eastAsia="Verdana"/>
                <w:lang w:val="hr-HR"/>
              </w:rPr>
              <w:t>je svaki pomak ka nižoj dozi, a uz očuvanje primjerene kvalitete slikovnog zapisa.</w:t>
            </w:r>
          </w:p>
          <w:p w:rsidR="002B3869" w:rsidRPr="007B2905" w:rsidRDefault="002D1E06">
            <w:pPr>
              <w:jc w:val="both"/>
              <w:rPr>
                <w:lang w:val="hr-HR"/>
              </w:rPr>
            </w:pPr>
            <w:r w:rsidRPr="007B2905">
              <w:rPr>
                <w:rFonts w:eastAsia="Verdana"/>
                <w:lang w:val="hr-HR"/>
              </w:rPr>
              <w:t xml:space="preserve">Ukoliko se </w:t>
            </w:r>
            <w:r w:rsidR="005C7C99" w:rsidRPr="007B2905">
              <w:rPr>
                <w:rFonts w:eastAsia="Verdana"/>
                <w:lang w:val="hr-HR"/>
              </w:rPr>
              <w:t xml:space="preserve">prilikom </w:t>
            </w:r>
            <w:r w:rsidRPr="007B2905">
              <w:rPr>
                <w:rFonts w:eastAsia="Verdana"/>
                <w:lang w:val="hr-HR"/>
              </w:rPr>
              <w:t xml:space="preserve">pregleda računalnom tomografijom </w:t>
            </w:r>
            <w:r w:rsidR="00AE1728" w:rsidRPr="007B2905">
              <w:rPr>
                <w:rFonts w:eastAsia="Verdana"/>
                <w:lang w:val="hr-HR"/>
              </w:rPr>
              <w:t>upotrijebi niski napon</w:t>
            </w:r>
            <w:r w:rsidR="00140B61" w:rsidRPr="007B2905">
              <w:rPr>
                <w:rFonts w:eastAsia="Verdana"/>
                <w:lang w:val="hr-HR"/>
              </w:rPr>
              <w:t xml:space="preserve"> </w:t>
            </w:r>
            <w:r w:rsidR="007F1B6F" w:rsidRPr="007B2905">
              <w:rPr>
                <w:rFonts w:eastAsia="Verdana"/>
                <w:lang w:val="hr-HR"/>
              </w:rPr>
              <w:t xml:space="preserve">rendgenske </w:t>
            </w:r>
            <w:r w:rsidR="00140B61" w:rsidRPr="007B2905">
              <w:rPr>
                <w:rFonts w:eastAsia="Verdana"/>
                <w:lang w:val="hr-HR"/>
              </w:rPr>
              <w:t>cijevi</w:t>
            </w:r>
            <w:r w:rsidR="007F1B6F" w:rsidRPr="007B2905">
              <w:rPr>
                <w:rFonts w:eastAsia="Verdana"/>
                <w:lang w:val="hr-HR"/>
              </w:rPr>
              <w:t>, što bolje odgovara</w:t>
            </w:r>
            <w:r w:rsidR="00140B61" w:rsidRPr="007B2905">
              <w:rPr>
                <w:rFonts w:eastAsia="Verdana"/>
                <w:lang w:val="hr-HR"/>
              </w:rPr>
              <w:t xml:space="preserve"> </w:t>
            </w:r>
            <w:proofErr w:type="spellStart"/>
            <w:r w:rsidR="00140B61" w:rsidRPr="007B2905">
              <w:rPr>
                <w:rFonts w:eastAsia="Verdana"/>
                <w:lang w:val="hr-HR"/>
              </w:rPr>
              <w:t>masenom</w:t>
            </w:r>
            <w:proofErr w:type="spellEnd"/>
            <w:r w:rsidR="00140B61" w:rsidRPr="007B2905">
              <w:rPr>
                <w:rFonts w:eastAsia="Verdana"/>
                <w:lang w:val="hr-HR"/>
              </w:rPr>
              <w:t xml:space="preserve"> koefic</w:t>
            </w:r>
            <w:r w:rsidR="00042C41" w:rsidRPr="007B2905">
              <w:rPr>
                <w:rFonts w:eastAsia="Verdana"/>
                <w:lang w:val="hr-HR"/>
              </w:rPr>
              <w:t>i</w:t>
            </w:r>
            <w:r w:rsidR="00140B61" w:rsidRPr="007B2905">
              <w:rPr>
                <w:rFonts w:eastAsia="Verdana"/>
                <w:lang w:val="hr-HR"/>
              </w:rPr>
              <w:t xml:space="preserve">jentu </w:t>
            </w:r>
            <w:proofErr w:type="spellStart"/>
            <w:r w:rsidR="00140B61" w:rsidRPr="007B2905">
              <w:rPr>
                <w:rFonts w:eastAsia="Verdana"/>
                <w:lang w:val="hr-HR"/>
              </w:rPr>
              <w:t>atenuacije</w:t>
            </w:r>
            <w:proofErr w:type="spellEnd"/>
            <w:r w:rsidR="00140B61" w:rsidRPr="007B2905">
              <w:rPr>
                <w:rFonts w:eastAsia="Verdana"/>
                <w:lang w:val="hr-HR"/>
              </w:rPr>
              <w:t xml:space="preserve"> joda [8], </w:t>
            </w:r>
            <w:r w:rsidR="005A0F72" w:rsidRPr="007B2905">
              <w:rPr>
                <w:rFonts w:eastAsia="Verdana"/>
                <w:lang w:val="hr-HR"/>
              </w:rPr>
              <w:t>dogoditi će se veća</w:t>
            </w:r>
            <w:r w:rsidR="00140B61" w:rsidRPr="007B2905">
              <w:rPr>
                <w:rFonts w:eastAsia="Verdana"/>
                <w:lang w:val="hr-HR"/>
              </w:rPr>
              <w:t xml:space="preserve"> </w:t>
            </w:r>
            <w:proofErr w:type="spellStart"/>
            <w:r w:rsidR="00140B61" w:rsidRPr="007B2905">
              <w:rPr>
                <w:rFonts w:eastAsia="Verdana"/>
                <w:lang w:val="hr-HR"/>
              </w:rPr>
              <w:t>atenuac</w:t>
            </w:r>
            <w:r w:rsidR="005A0F72" w:rsidRPr="007B2905">
              <w:rPr>
                <w:rFonts w:eastAsia="Verdana"/>
                <w:lang w:val="hr-HR"/>
              </w:rPr>
              <w:t>ija</w:t>
            </w:r>
            <w:proofErr w:type="spellEnd"/>
            <w:r w:rsidR="00140B61" w:rsidRPr="007B2905">
              <w:rPr>
                <w:rFonts w:eastAsia="Verdana"/>
                <w:lang w:val="hr-HR"/>
              </w:rPr>
              <w:t xml:space="preserve"> rendgenskog snopa u krvnim žilama ispunjenim kontrastnim sredstvom, a u isto vrije</w:t>
            </w:r>
            <w:r w:rsidR="0045154D" w:rsidRPr="007B2905">
              <w:rPr>
                <w:rFonts w:eastAsia="Verdana"/>
                <w:lang w:val="hr-HR"/>
              </w:rPr>
              <w:t>me će isporučena doza biti niža</w:t>
            </w:r>
            <w:r w:rsidR="00140B61" w:rsidRPr="007B2905">
              <w:rPr>
                <w:rFonts w:eastAsia="Verdana"/>
                <w:lang w:val="hr-HR"/>
              </w:rPr>
              <w:t xml:space="preserve"> [9].</w:t>
            </w:r>
          </w:p>
          <w:p w:rsidR="002B3869" w:rsidRPr="007B2905" w:rsidRDefault="00140B61">
            <w:pPr>
              <w:jc w:val="both"/>
              <w:rPr>
                <w:lang w:val="hr-HR"/>
              </w:rPr>
            </w:pPr>
            <w:r w:rsidRPr="007B2905">
              <w:rPr>
                <w:rFonts w:eastAsia="Verdana"/>
                <w:lang w:val="hr-HR"/>
              </w:rPr>
              <w:t xml:space="preserve">Prije istraživanja, parametri oba načina snimanja provjerit će se na fantomu </w:t>
            </w:r>
            <w:r w:rsidR="005C7C99" w:rsidRPr="007B2905">
              <w:rPr>
                <w:rFonts w:eastAsia="Verdana"/>
                <w:lang w:val="hr-HR"/>
              </w:rPr>
              <w:t xml:space="preserve">da </w:t>
            </w:r>
            <w:r w:rsidRPr="007B2905">
              <w:rPr>
                <w:rFonts w:eastAsia="Verdana"/>
                <w:lang w:val="hr-HR"/>
              </w:rPr>
              <w:t>bi</w:t>
            </w:r>
            <w:r w:rsidR="00290273" w:rsidRPr="007B2905">
              <w:rPr>
                <w:rFonts w:eastAsia="Verdana"/>
                <w:lang w:val="hr-HR"/>
              </w:rPr>
              <w:t>smo</w:t>
            </w:r>
            <w:r w:rsidRPr="007B2905">
              <w:rPr>
                <w:rFonts w:eastAsia="Verdana"/>
                <w:lang w:val="hr-HR"/>
              </w:rPr>
              <w:t xml:space="preserve"> dobili okvirne očekivane </w:t>
            </w:r>
            <w:r w:rsidR="009D6E76" w:rsidRPr="007B2905">
              <w:rPr>
                <w:rFonts w:eastAsia="Verdana"/>
                <w:lang w:val="hr-HR"/>
              </w:rPr>
              <w:t>ishode</w:t>
            </w:r>
            <w:r w:rsidRPr="007B2905">
              <w:rPr>
                <w:rFonts w:eastAsia="Verdana"/>
                <w:lang w:val="hr-HR"/>
              </w:rPr>
              <w:t>,</w:t>
            </w:r>
            <w:r w:rsidR="00D13B76" w:rsidRPr="007B2905">
              <w:rPr>
                <w:rFonts w:eastAsia="Verdana"/>
                <w:lang w:val="hr-HR"/>
              </w:rPr>
              <w:t xml:space="preserve"> odnosno</w:t>
            </w:r>
            <w:r w:rsidR="00597C46" w:rsidRPr="007B2905">
              <w:rPr>
                <w:rFonts w:eastAsia="Verdana"/>
                <w:lang w:val="hr-HR"/>
              </w:rPr>
              <w:t>,</w:t>
            </w:r>
            <w:r w:rsidRPr="007B2905">
              <w:rPr>
                <w:rFonts w:eastAsia="Verdana"/>
                <w:lang w:val="hr-HR"/>
              </w:rPr>
              <w:t xml:space="preserve"> odredili potrebnu veličinu uzorka </w:t>
            </w:r>
            <w:r w:rsidR="000D3043" w:rsidRPr="007B2905">
              <w:rPr>
                <w:rFonts w:eastAsia="Verdana"/>
                <w:lang w:val="hr-HR"/>
              </w:rPr>
              <w:t xml:space="preserve">i </w:t>
            </w:r>
            <w:r w:rsidRPr="007B2905">
              <w:rPr>
                <w:rFonts w:eastAsia="Verdana"/>
                <w:lang w:val="hr-HR"/>
              </w:rPr>
              <w:t>kako bi</w:t>
            </w:r>
            <w:r w:rsidR="003E3FD1" w:rsidRPr="007B2905">
              <w:rPr>
                <w:rFonts w:eastAsia="Verdana"/>
                <w:lang w:val="hr-HR"/>
              </w:rPr>
              <w:t>smo</w:t>
            </w:r>
            <w:r w:rsidRPr="007B2905">
              <w:rPr>
                <w:rFonts w:eastAsia="Verdana"/>
                <w:lang w:val="hr-HR"/>
              </w:rPr>
              <w:t xml:space="preserve"> bili sigurni da imamo teorijsku osnovu za istraživanje </w:t>
            </w:r>
            <w:r w:rsidR="00695CA8" w:rsidRPr="007B2905">
              <w:rPr>
                <w:rFonts w:eastAsia="Verdana"/>
                <w:lang w:val="hr-HR"/>
              </w:rPr>
              <w:t>te</w:t>
            </w:r>
            <w:r w:rsidRPr="007B2905">
              <w:rPr>
                <w:rFonts w:eastAsia="Verdana"/>
                <w:lang w:val="hr-HR"/>
              </w:rPr>
              <w:t xml:space="preserve"> </w:t>
            </w:r>
            <w:proofErr w:type="spellStart"/>
            <w:r w:rsidRPr="007B2905">
              <w:rPr>
                <w:rFonts w:eastAsia="Verdana"/>
                <w:lang w:val="hr-HR"/>
              </w:rPr>
              <w:t>najbitnije</w:t>
            </w:r>
            <w:proofErr w:type="spellEnd"/>
            <w:r w:rsidRPr="007B2905">
              <w:rPr>
                <w:rFonts w:eastAsia="Verdana"/>
                <w:lang w:val="hr-HR"/>
              </w:rPr>
              <w:t>, da ne ugrožavamo zdravlje pacijenata.</w:t>
            </w:r>
          </w:p>
          <w:p w:rsidR="002B3869" w:rsidRPr="007B2905" w:rsidRDefault="00140B61">
            <w:pPr>
              <w:jc w:val="both"/>
              <w:rPr>
                <w:lang w:val="hr-HR"/>
              </w:rPr>
            </w:pPr>
            <w:r w:rsidRPr="007B2905">
              <w:rPr>
                <w:rFonts w:eastAsia="Verdana"/>
                <w:lang w:val="hr-HR"/>
              </w:rPr>
              <w:t>Cilj ovog rada je istražiti kako će upor</w:t>
            </w:r>
            <w:r w:rsidR="005C7C99" w:rsidRPr="007B2905">
              <w:rPr>
                <w:rFonts w:eastAsia="Verdana"/>
                <w:lang w:val="hr-HR"/>
              </w:rPr>
              <w:t>a</w:t>
            </w:r>
            <w:r w:rsidRPr="007B2905">
              <w:rPr>
                <w:rFonts w:eastAsia="Verdana"/>
                <w:lang w:val="hr-HR"/>
              </w:rPr>
              <w:t>ba napona rendgenske cijevi od 80</w:t>
            </w:r>
            <w:r w:rsidR="00E62908" w:rsidRPr="007B2905">
              <w:rPr>
                <w:rFonts w:eastAsia="Verdana"/>
                <w:lang w:val="hr-HR"/>
              </w:rPr>
              <w:t xml:space="preserve"> </w:t>
            </w:r>
            <w:r w:rsidRPr="007B2905">
              <w:rPr>
                <w:rFonts w:eastAsia="Verdana"/>
                <w:lang w:val="hr-HR"/>
              </w:rPr>
              <w:t>kV umjesto standardnih 120</w:t>
            </w:r>
            <w:r w:rsidR="006D45EE" w:rsidRPr="007B2905">
              <w:rPr>
                <w:rFonts w:eastAsia="Verdana"/>
                <w:lang w:val="hr-HR"/>
              </w:rPr>
              <w:t xml:space="preserve"> </w:t>
            </w:r>
            <w:r w:rsidRPr="007B2905">
              <w:rPr>
                <w:rFonts w:eastAsia="Verdana"/>
                <w:lang w:val="hr-HR"/>
              </w:rPr>
              <w:t xml:space="preserve">kV utjecati na </w:t>
            </w:r>
            <w:r w:rsidR="00BA62A0" w:rsidRPr="007B2905">
              <w:rPr>
                <w:rFonts w:eastAsia="Verdana"/>
                <w:lang w:val="hr-HR"/>
              </w:rPr>
              <w:t>isporučenu dozu</w:t>
            </w:r>
            <w:r w:rsidRPr="007B2905">
              <w:rPr>
                <w:rFonts w:eastAsia="Verdana"/>
                <w:lang w:val="hr-HR"/>
              </w:rPr>
              <w:t xml:space="preserve"> i kvalitetu snimke </w:t>
            </w:r>
            <w:r w:rsidR="005A0F72" w:rsidRPr="007B2905">
              <w:rPr>
                <w:rFonts w:eastAsia="Verdana"/>
                <w:lang w:val="hr-HR"/>
              </w:rPr>
              <w:t xml:space="preserve">pri angiografiji donjih </w:t>
            </w:r>
            <w:r w:rsidR="00242501" w:rsidRPr="007B2905">
              <w:rPr>
                <w:rFonts w:eastAsia="Verdana"/>
                <w:lang w:val="hr-HR"/>
              </w:rPr>
              <w:t>udova</w:t>
            </w:r>
            <w:r w:rsidR="005A0F72" w:rsidRPr="007B2905">
              <w:rPr>
                <w:rFonts w:eastAsia="Verdana"/>
                <w:lang w:val="hr-HR"/>
              </w:rPr>
              <w:t xml:space="preserve"> 64-slojnom računalnom tomografijom</w:t>
            </w:r>
            <w:r w:rsidRPr="007B2905">
              <w:rPr>
                <w:rFonts w:eastAsia="Verdana"/>
                <w:lang w:val="hr-HR"/>
              </w:rPr>
              <w:t>.</w:t>
            </w:r>
          </w:p>
          <w:p w:rsidR="002B3869" w:rsidRPr="007B2905" w:rsidRDefault="002B3869">
            <w:pPr>
              <w:jc w:val="both"/>
              <w:rPr>
                <w:lang w:val="hr-HR"/>
              </w:rPr>
            </w:pPr>
          </w:p>
        </w:tc>
      </w:tr>
      <w:tr w:rsidR="002B3869" w:rsidRPr="007B2905">
        <w:trPr>
          <w:trHeight w:val="420"/>
        </w:trPr>
        <w:tc>
          <w:tcPr>
            <w:tcW w:w="9781" w:type="dxa"/>
            <w:gridSpan w:val="3"/>
            <w:vAlign w:val="center"/>
          </w:tcPr>
          <w:p w:rsidR="002B3869" w:rsidRPr="007B2905" w:rsidRDefault="00140B61">
            <w:pPr>
              <w:rPr>
                <w:lang w:val="hr-HR"/>
              </w:rPr>
            </w:pPr>
            <w:r w:rsidRPr="007B2905">
              <w:rPr>
                <w:rFonts w:eastAsia="Verdana"/>
                <w:b/>
                <w:lang w:val="hr-HR"/>
              </w:rPr>
              <w:t>3. Hipoteza</w:t>
            </w:r>
          </w:p>
          <w:p w:rsidR="002B3869" w:rsidRPr="007B2905" w:rsidRDefault="00242501">
            <w:pPr>
              <w:jc w:val="both"/>
              <w:rPr>
                <w:lang w:val="hr-HR"/>
              </w:rPr>
            </w:pPr>
            <w:r w:rsidRPr="007B2905">
              <w:rPr>
                <w:rFonts w:eastAsia="Verdana"/>
                <w:lang w:val="hr-HR"/>
              </w:rPr>
              <w:t>Uporaba</w:t>
            </w:r>
            <w:r w:rsidR="00140B61" w:rsidRPr="007B2905">
              <w:rPr>
                <w:rFonts w:eastAsia="Verdana"/>
                <w:lang w:val="hr-HR"/>
              </w:rPr>
              <w:t xml:space="preserve"> napona rendgenske cijevi od 80</w:t>
            </w:r>
            <w:r w:rsidR="00E328B8" w:rsidRPr="007B2905">
              <w:rPr>
                <w:rFonts w:eastAsia="Verdana"/>
                <w:lang w:val="hr-HR"/>
              </w:rPr>
              <w:t xml:space="preserve"> </w:t>
            </w:r>
            <w:r w:rsidR="00140B61" w:rsidRPr="007B2905">
              <w:rPr>
                <w:rFonts w:eastAsia="Verdana"/>
                <w:lang w:val="hr-HR"/>
              </w:rPr>
              <w:t>kV umjesto 120</w:t>
            </w:r>
            <w:r w:rsidR="00E328B8" w:rsidRPr="007B2905">
              <w:rPr>
                <w:rFonts w:eastAsia="Verdana"/>
                <w:lang w:val="hr-HR"/>
              </w:rPr>
              <w:t xml:space="preserve"> </w:t>
            </w:r>
            <w:r w:rsidR="00140B61" w:rsidRPr="007B2905">
              <w:rPr>
                <w:rFonts w:eastAsia="Verdana"/>
                <w:lang w:val="hr-HR"/>
              </w:rPr>
              <w:t xml:space="preserve">kV </w:t>
            </w:r>
            <w:r w:rsidR="005A0F72" w:rsidRPr="007B2905">
              <w:rPr>
                <w:rFonts w:eastAsia="Verdana"/>
                <w:lang w:val="hr-HR"/>
              </w:rPr>
              <w:t xml:space="preserve">pri angiografiji </w:t>
            </w:r>
            <w:r w:rsidR="00AE1728" w:rsidRPr="007B2905">
              <w:rPr>
                <w:rFonts w:eastAsia="Verdana"/>
                <w:lang w:val="hr-HR"/>
              </w:rPr>
              <w:t xml:space="preserve">donjih </w:t>
            </w:r>
            <w:r w:rsidRPr="007B2905">
              <w:rPr>
                <w:rFonts w:eastAsia="Verdana"/>
                <w:lang w:val="hr-HR"/>
              </w:rPr>
              <w:t>udova</w:t>
            </w:r>
            <w:r w:rsidR="005A0F72" w:rsidRPr="007B2905">
              <w:rPr>
                <w:rFonts w:eastAsia="Verdana"/>
                <w:lang w:val="hr-HR"/>
              </w:rPr>
              <w:t xml:space="preserve"> 64-slojnom računalnom tomografijom</w:t>
            </w:r>
            <w:r w:rsidR="00140B61" w:rsidRPr="007B2905">
              <w:rPr>
                <w:rFonts w:eastAsia="Verdana"/>
                <w:lang w:val="hr-HR"/>
              </w:rPr>
              <w:t xml:space="preserve"> </w:t>
            </w:r>
            <w:r w:rsidR="00D82D2E" w:rsidRPr="007B2905">
              <w:rPr>
                <w:rFonts w:eastAsia="Verdana"/>
                <w:lang w:val="hr-HR"/>
              </w:rPr>
              <w:t>imat će za posljedicu</w:t>
            </w:r>
            <w:r w:rsidR="002018A9" w:rsidRPr="007B2905">
              <w:rPr>
                <w:rFonts w:eastAsia="Verdana"/>
                <w:lang w:val="hr-HR"/>
              </w:rPr>
              <w:t xml:space="preserve"> manju isporučenu dozu</w:t>
            </w:r>
            <w:r w:rsidR="00140B61" w:rsidRPr="007B2905">
              <w:rPr>
                <w:rFonts w:eastAsia="Verdana"/>
                <w:lang w:val="hr-HR"/>
              </w:rPr>
              <w:t>, uz očuvanje primjerene kvalitete slikovnog prikaza.</w:t>
            </w:r>
          </w:p>
          <w:p w:rsidR="002B3869" w:rsidRPr="007B2905" w:rsidRDefault="002B3869">
            <w:pPr>
              <w:rPr>
                <w:lang w:val="hr-HR"/>
              </w:rPr>
            </w:pPr>
          </w:p>
        </w:tc>
      </w:tr>
      <w:tr w:rsidR="002B3869" w:rsidRPr="007B2905">
        <w:trPr>
          <w:trHeight w:val="420"/>
        </w:trPr>
        <w:tc>
          <w:tcPr>
            <w:tcW w:w="9781" w:type="dxa"/>
            <w:gridSpan w:val="3"/>
            <w:vAlign w:val="center"/>
          </w:tcPr>
          <w:p w:rsidR="002B3869" w:rsidRPr="007B2905" w:rsidRDefault="00140B61" w:rsidP="00A30098">
            <w:pPr>
              <w:rPr>
                <w:lang w:val="hr-HR"/>
              </w:rPr>
            </w:pPr>
            <w:r w:rsidRPr="007B2905">
              <w:rPr>
                <w:rFonts w:eastAsia="Verdana"/>
                <w:b/>
                <w:highlight w:val="white"/>
                <w:lang w:val="hr-HR"/>
              </w:rPr>
              <w:t>4. Ustroj istraživanja</w:t>
            </w:r>
          </w:p>
          <w:p w:rsidR="001D329B" w:rsidRPr="007B2905" w:rsidRDefault="00140B61" w:rsidP="001D329B">
            <w:pPr>
              <w:jc w:val="both"/>
              <w:rPr>
                <w:lang w:val="hr-HR"/>
              </w:rPr>
            </w:pPr>
            <w:r w:rsidRPr="007B2905">
              <w:rPr>
                <w:rFonts w:eastAsia="Verdana"/>
                <w:highlight w:val="white"/>
                <w:lang w:val="hr-HR"/>
              </w:rPr>
              <w:t xml:space="preserve">4.1. Ustroj istraživanja: prospektivno kohortno </w:t>
            </w:r>
            <w:proofErr w:type="spellStart"/>
            <w:r w:rsidRPr="007B2905">
              <w:rPr>
                <w:rFonts w:eastAsia="Verdana"/>
                <w:highlight w:val="white"/>
                <w:lang w:val="hr-HR"/>
              </w:rPr>
              <w:t>randomizirano</w:t>
            </w:r>
            <w:proofErr w:type="spellEnd"/>
            <w:r w:rsidRPr="007B2905">
              <w:rPr>
                <w:rFonts w:eastAsia="Verdana"/>
                <w:highlight w:val="white"/>
                <w:lang w:val="hr-HR"/>
              </w:rPr>
              <w:t xml:space="preserve"> istraživanje.</w:t>
            </w:r>
          </w:p>
          <w:p w:rsidR="001D329B" w:rsidRPr="007B2905" w:rsidRDefault="00140B61" w:rsidP="001D329B">
            <w:pPr>
              <w:jc w:val="both"/>
              <w:rPr>
                <w:rFonts w:eastAsia="Verdana"/>
                <w:highlight w:val="white"/>
                <w:lang w:val="hr-HR"/>
              </w:rPr>
            </w:pPr>
            <w:r w:rsidRPr="007B2905">
              <w:rPr>
                <w:rFonts w:eastAsia="Verdana"/>
                <w:highlight w:val="white"/>
                <w:lang w:val="hr-HR"/>
              </w:rPr>
              <w:t>4.</w:t>
            </w:r>
            <w:r w:rsidR="001D329B" w:rsidRPr="007B2905">
              <w:rPr>
                <w:rFonts w:eastAsia="Verdana"/>
                <w:highlight w:val="white"/>
                <w:lang w:val="hr-HR"/>
              </w:rPr>
              <w:t>2. Izvor prikupljanja podataka:</w:t>
            </w:r>
          </w:p>
          <w:p w:rsidR="001D329B" w:rsidRPr="007B2905" w:rsidRDefault="00140B61" w:rsidP="001D329B">
            <w:pPr>
              <w:jc w:val="both"/>
              <w:rPr>
                <w:lang w:val="hr-HR"/>
              </w:rPr>
            </w:pPr>
            <w:r w:rsidRPr="007B2905">
              <w:rPr>
                <w:rFonts w:eastAsia="Verdana"/>
                <w:highlight w:val="white"/>
                <w:lang w:val="hr-HR"/>
              </w:rPr>
              <w:t xml:space="preserve">4.2.1. Podatci parametara rendgenskog snimanja </w:t>
            </w:r>
            <w:r w:rsidR="00516353" w:rsidRPr="007B2905">
              <w:rPr>
                <w:rFonts w:eastAsia="Verdana"/>
                <w:highlight w:val="white"/>
                <w:lang w:val="hr-HR"/>
              </w:rPr>
              <w:t>očitavat će se</w:t>
            </w:r>
            <w:r w:rsidRPr="007B2905">
              <w:rPr>
                <w:rFonts w:eastAsia="Verdana"/>
                <w:highlight w:val="white"/>
                <w:lang w:val="hr-HR"/>
              </w:rPr>
              <w:t xml:space="preserve"> izravno, iz aplikacije uređaja za računalnu tomografiju, uključujući i konačnu isporučenu dozu (</w:t>
            </w:r>
            <w:proofErr w:type="spellStart"/>
            <w:r w:rsidRPr="007B2905">
              <w:rPr>
                <w:rFonts w:eastAsia="Verdana"/>
                <w:highlight w:val="white"/>
                <w:lang w:val="hr-HR"/>
              </w:rPr>
              <w:t>CTDI</w:t>
            </w:r>
            <w:r w:rsidRPr="007B2905">
              <w:rPr>
                <w:rFonts w:eastAsia="Verdana"/>
                <w:highlight w:val="white"/>
                <w:vertAlign w:val="subscript"/>
                <w:lang w:val="hr-HR"/>
              </w:rPr>
              <w:t>vol</w:t>
            </w:r>
            <w:proofErr w:type="spellEnd"/>
            <w:r w:rsidRPr="007B2905">
              <w:rPr>
                <w:rFonts w:eastAsia="Verdana"/>
                <w:highlight w:val="white"/>
                <w:lang w:val="hr-HR"/>
              </w:rPr>
              <w:t>).</w:t>
            </w:r>
          </w:p>
          <w:p w:rsidR="001D329B" w:rsidRPr="007B2905" w:rsidRDefault="00140B61" w:rsidP="001D329B">
            <w:pPr>
              <w:jc w:val="both"/>
              <w:rPr>
                <w:rFonts w:eastAsia="Verdana"/>
                <w:highlight w:val="white"/>
                <w:lang w:val="hr-HR"/>
              </w:rPr>
            </w:pPr>
            <w:r w:rsidRPr="007B2905">
              <w:rPr>
                <w:rFonts w:eastAsia="Verdana"/>
                <w:highlight w:val="white"/>
                <w:lang w:val="hr-HR"/>
              </w:rPr>
              <w:lastRenderedPageBreak/>
              <w:t>4.2.2. Podatci o kvaliteti slik</w:t>
            </w:r>
            <w:r w:rsidR="001D329B" w:rsidRPr="007B2905">
              <w:rPr>
                <w:rFonts w:eastAsia="Verdana"/>
                <w:highlight w:val="white"/>
                <w:lang w:val="hr-HR"/>
              </w:rPr>
              <w:t>ovnog prikaza prikupljat će se:</w:t>
            </w:r>
          </w:p>
          <w:p w:rsidR="001D329B" w:rsidRPr="007B2905" w:rsidRDefault="00140B61" w:rsidP="001D329B">
            <w:pPr>
              <w:jc w:val="both"/>
              <w:rPr>
                <w:rFonts w:eastAsia="Verdana"/>
                <w:highlight w:val="white"/>
                <w:lang w:val="hr-HR"/>
              </w:rPr>
            </w:pPr>
            <w:r w:rsidRPr="007B2905">
              <w:rPr>
                <w:rFonts w:eastAsia="Verdana"/>
                <w:highlight w:val="white"/>
                <w:lang w:val="hr-HR"/>
              </w:rPr>
              <w:t>4.2</w:t>
            </w:r>
            <w:r w:rsidR="001D329B" w:rsidRPr="007B2905">
              <w:rPr>
                <w:rFonts w:eastAsia="Verdana"/>
                <w:highlight w:val="white"/>
                <w:lang w:val="hr-HR"/>
              </w:rPr>
              <w:t>.2.1. Kvantitativnim mjerenjem:</w:t>
            </w:r>
          </w:p>
          <w:p w:rsidR="001D329B" w:rsidRPr="007B2905" w:rsidRDefault="001D329B" w:rsidP="001D329B">
            <w:pPr>
              <w:jc w:val="both"/>
              <w:rPr>
                <w:rFonts w:eastAsia="Verdana"/>
                <w:highlight w:val="white"/>
                <w:lang w:val="hr-HR"/>
              </w:rPr>
            </w:pPr>
            <w:r w:rsidRPr="007B2905">
              <w:rPr>
                <w:rFonts w:eastAsia="Verdana"/>
                <w:highlight w:val="white"/>
                <w:lang w:val="hr-HR"/>
              </w:rPr>
              <w:t>4.2.2.1.1. K</w:t>
            </w:r>
            <w:r w:rsidR="00140B61" w:rsidRPr="007B2905">
              <w:rPr>
                <w:rFonts w:eastAsia="Verdana"/>
                <w:highlight w:val="white"/>
                <w:lang w:val="hr-HR"/>
              </w:rPr>
              <w:t>vantitativnim mjerenjem intenziteta sig</w:t>
            </w:r>
            <w:r w:rsidR="007F13E6" w:rsidRPr="007B2905">
              <w:rPr>
                <w:rFonts w:eastAsia="Verdana"/>
                <w:highlight w:val="white"/>
                <w:lang w:val="hr-HR"/>
              </w:rPr>
              <w:t>nala (SI</w:t>
            </w:r>
            <w:r w:rsidR="00140B61" w:rsidRPr="007B2905">
              <w:rPr>
                <w:rFonts w:eastAsia="Verdana"/>
                <w:highlight w:val="white"/>
                <w:lang w:val="hr-HR"/>
              </w:rPr>
              <w:t xml:space="preserve">) na tri standardizirana </w:t>
            </w:r>
            <w:r w:rsidR="002018A9" w:rsidRPr="007B2905">
              <w:rPr>
                <w:rFonts w:eastAsia="Verdana"/>
                <w:lang w:val="hr-HR"/>
              </w:rPr>
              <w:t>interesna područja</w:t>
            </w:r>
            <w:r w:rsidR="002018A9" w:rsidRPr="007B2905">
              <w:rPr>
                <w:rFonts w:eastAsia="Verdana"/>
                <w:highlight w:val="white"/>
                <w:lang w:val="hr-HR"/>
              </w:rPr>
              <w:t xml:space="preserve"> </w:t>
            </w:r>
            <w:r w:rsidR="00140B61" w:rsidRPr="007B2905">
              <w:rPr>
                <w:rFonts w:eastAsia="Verdana"/>
                <w:highlight w:val="white"/>
                <w:lang w:val="hr-HR"/>
              </w:rPr>
              <w:t xml:space="preserve">(HU) (centimetar iznad </w:t>
            </w:r>
            <w:proofErr w:type="spellStart"/>
            <w:r w:rsidR="00140B61" w:rsidRPr="007B2905">
              <w:rPr>
                <w:rFonts w:eastAsia="Verdana"/>
                <w:highlight w:val="white"/>
                <w:lang w:val="hr-HR"/>
              </w:rPr>
              <w:t>račvišta</w:t>
            </w:r>
            <w:proofErr w:type="spellEnd"/>
            <w:r w:rsidR="00140B61" w:rsidRPr="007B2905">
              <w:rPr>
                <w:rFonts w:eastAsia="Verdana"/>
                <w:highlight w:val="white"/>
                <w:lang w:val="hr-HR"/>
              </w:rPr>
              <w:t xml:space="preserve"> aorte, lijeva </w:t>
            </w:r>
            <w:proofErr w:type="spellStart"/>
            <w:r w:rsidR="00140B61" w:rsidRPr="007B2905">
              <w:rPr>
                <w:rFonts w:eastAsia="Verdana"/>
                <w:highlight w:val="white"/>
                <w:lang w:val="hr-HR"/>
              </w:rPr>
              <w:t>zakoljena</w:t>
            </w:r>
            <w:proofErr w:type="spellEnd"/>
            <w:r w:rsidR="00140B61" w:rsidRPr="007B2905">
              <w:rPr>
                <w:rFonts w:eastAsia="Verdana"/>
                <w:highlight w:val="white"/>
                <w:lang w:val="hr-HR"/>
              </w:rPr>
              <w:t xml:space="preserve"> arte</w:t>
            </w:r>
            <w:r w:rsidRPr="007B2905">
              <w:rPr>
                <w:rFonts w:eastAsia="Verdana"/>
                <w:highlight w:val="white"/>
                <w:lang w:val="hr-HR"/>
              </w:rPr>
              <w:t xml:space="preserve">rija, desna </w:t>
            </w:r>
            <w:proofErr w:type="spellStart"/>
            <w:r w:rsidRPr="007B2905">
              <w:rPr>
                <w:rFonts w:eastAsia="Verdana"/>
                <w:highlight w:val="white"/>
                <w:lang w:val="hr-HR"/>
              </w:rPr>
              <w:t>zakoljena</w:t>
            </w:r>
            <w:proofErr w:type="spellEnd"/>
            <w:r w:rsidRPr="007B2905">
              <w:rPr>
                <w:rFonts w:eastAsia="Verdana"/>
                <w:highlight w:val="white"/>
                <w:lang w:val="hr-HR"/>
              </w:rPr>
              <w:t xml:space="preserve"> arterija),</w:t>
            </w:r>
          </w:p>
          <w:p w:rsidR="001D329B" w:rsidRPr="007B2905" w:rsidRDefault="001D329B" w:rsidP="001D329B">
            <w:pPr>
              <w:jc w:val="both"/>
              <w:rPr>
                <w:rFonts w:eastAsia="Verdana"/>
                <w:highlight w:val="white"/>
                <w:lang w:val="hr-HR"/>
              </w:rPr>
            </w:pPr>
            <w:r w:rsidRPr="007B2905">
              <w:rPr>
                <w:rFonts w:eastAsia="Verdana"/>
                <w:highlight w:val="white"/>
                <w:lang w:val="hr-HR"/>
              </w:rPr>
              <w:t>4.2.2.1.2. I</w:t>
            </w:r>
            <w:r w:rsidR="00140B61" w:rsidRPr="007B2905">
              <w:rPr>
                <w:rFonts w:eastAsia="Verdana"/>
                <w:highlight w:val="white"/>
                <w:lang w:val="hr-HR"/>
              </w:rPr>
              <w:t>zračunom odnosa signal</w:t>
            </w:r>
            <w:r w:rsidR="00EE466A" w:rsidRPr="007B2905">
              <w:rPr>
                <w:rFonts w:eastAsia="Verdana"/>
                <w:highlight w:val="white"/>
                <w:lang w:val="hr-HR"/>
              </w:rPr>
              <w:t xml:space="preserve"> – </w:t>
            </w:r>
            <w:r w:rsidR="00630C24" w:rsidRPr="007B2905">
              <w:rPr>
                <w:rFonts w:eastAsia="Verdana"/>
                <w:highlight w:val="white"/>
                <w:lang w:val="hr-HR"/>
              </w:rPr>
              <w:t xml:space="preserve">šum (SNR) </w:t>
            </w:r>
            <w:r w:rsidR="00140B61" w:rsidRPr="007B2905">
              <w:rPr>
                <w:rFonts w:eastAsia="Verdana"/>
                <w:highlight w:val="white"/>
                <w:lang w:val="hr-HR"/>
              </w:rPr>
              <w:t xml:space="preserve">na tri </w:t>
            </w:r>
            <w:r w:rsidR="001D3C98" w:rsidRPr="007B2905">
              <w:rPr>
                <w:rFonts w:eastAsia="Verdana"/>
                <w:highlight w:val="white"/>
                <w:lang w:val="hr-HR"/>
              </w:rPr>
              <w:t>standardizirana</w:t>
            </w:r>
            <w:r w:rsidR="00140B61" w:rsidRPr="007B2905">
              <w:rPr>
                <w:rFonts w:eastAsia="Verdana"/>
                <w:highlight w:val="white"/>
                <w:lang w:val="hr-HR"/>
              </w:rPr>
              <w:t xml:space="preserve"> </w:t>
            </w:r>
            <w:r w:rsidR="002018A9" w:rsidRPr="007B2905">
              <w:rPr>
                <w:rFonts w:eastAsia="Verdana"/>
                <w:lang w:val="hr-HR"/>
              </w:rPr>
              <w:t>interesna područja</w:t>
            </w:r>
            <w:r w:rsidR="00630C24" w:rsidRPr="007B2905">
              <w:rPr>
                <w:rFonts w:eastAsia="Verdana"/>
                <w:lang w:val="hr-HR"/>
              </w:rPr>
              <w:t xml:space="preserve"> </w:t>
            </w:r>
            <w:r w:rsidR="00630C24" w:rsidRPr="007B2905">
              <w:rPr>
                <w:rFonts w:eastAsia="Verdana"/>
                <w:highlight w:val="white"/>
                <w:lang w:val="hr-HR"/>
              </w:rPr>
              <w:t>(dB)</w:t>
            </w:r>
            <w:r w:rsidR="00266203" w:rsidRPr="007B2905">
              <w:rPr>
                <w:rFonts w:eastAsia="Verdana"/>
                <w:highlight w:val="white"/>
                <w:lang w:val="hr-HR"/>
              </w:rPr>
              <w:t>,</w:t>
            </w:r>
          </w:p>
          <w:p w:rsidR="001D329B" w:rsidRPr="007B2905" w:rsidRDefault="001D329B" w:rsidP="001D329B">
            <w:pPr>
              <w:jc w:val="both"/>
              <w:rPr>
                <w:rFonts w:eastAsia="Verdana"/>
                <w:highlight w:val="white"/>
                <w:lang w:val="hr-HR"/>
              </w:rPr>
            </w:pPr>
            <w:r w:rsidRPr="007B2905">
              <w:rPr>
                <w:rFonts w:eastAsia="Verdana"/>
                <w:highlight w:val="white"/>
                <w:lang w:val="hr-HR"/>
              </w:rPr>
              <w:t>4.2.2.1.3. I</w:t>
            </w:r>
            <w:r w:rsidR="00140B61" w:rsidRPr="007B2905">
              <w:rPr>
                <w:rFonts w:eastAsia="Verdana"/>
                <w:highlight w:val="white"/>
                <w:lang w:val="hr-HR"/>
              </w:rPr>
              <w:t>zračunom odnosa kontrast</w:t>
            </w:r>
            <w:r w:rsidR="00DA4D6D" w:rsidRPr="007B2905">
              <w:rPr>
                <w:rFonts w:eastAsia="Verdana"/>
                <w:highlight w:val="white"/>
                <w:lang w:val="hr-HR"/>
              </w:rPr>
              <w:t xml:space="preserve"> – </w:t>
            </w:r>
            <w:r w:rsidR="00140B61" w:rsidRPr="007B2905">
              <w:rPr>
                <w:rFonts w:eastAsia="Verdana"/>
                <w:highlight w:val="white"/>
                <w:lang w:val="hr-HR"/>
              </w:rPr>
              <w:t xml:space="preserve">šum (CNR) na tri </w:t>
            </w:r>
            <w:r w:rsidR="001D3C98" w:rsidRPr="007B2905">
              <w:rPr>
                <w:rFonts w:eastAsia="Verdana"/>
                <w:highlight w:val="white"/>
                <w:lang w:val="hr-HR"/>
              </w:rPr>
              <w:t>standardizirana</w:t>
            </w:r>
            <w:r w:rsidR="00140B61" w:rsidRPr="007B2905">
              <w:rPr>
                <w:rFonts w:eastAsia="Verdana"/>
                <w:highlight w:val="white"/>
                <w:lang w:val="hr-HR"/>
              </w:rPr>
              <w:t xml:space="preserve"> </w:t>
            </w:r>
            <w:r w:rsidR="002018A9" w:rsidRPr="007B2905">
              <w:rPr>
                <w:rFonts w:eastAsia="Verdana"/>
                <w:lang w:val="hr-HR"/>
              </w:rPr>
              <w:t>interesna područja</w:t>
            </w:r>
            <w:r w:rsidR="00630C24" w:rsidRPr="007B2905">
              <w:rPr>
                <w:rFonts w:eastAsia="Verdana"/>
                <w:lang w:val="hr-HR"/>
              </w:rPr>
              <w:t xml:space="preserve"> </w:t>
            </w:r>
            <w:r w:rsidR="00630C24" w:rsidRPr="007B2905">
              <w:rPr>
                <w:rFonts w:eastAsia="Verdana"/>
                <w:highlight w:val="white"/>
                <w:lang w:val="hr-HR"/>
              </w:rPr>
              <w:t>(dB)</w:t>
            </w:r>
            <w:r w:rsidR="00140B61" w:rsidRPr="007B2905">
              <w:rPr>
                <w:rFonts w:eastAsia="Verdana"/>
                <w:highlight w:val="white"/>
                <w:lang w:val="hr-HR"/>
              </w:rPr>
              <w:t>.</w:t>
            </w:r>
          </w:p>
          <w:p w:rsidR="001D329B" w:rsidRPr="007B2905" w:rsidRDefault="00140B61" w:rsidP="001D329B">
            <w:pPr>
              <w:jc w:val="both"/>
              <w:rPr>
                <w:rFonts w:eastAsia="Verdana"/>
                <w:highlight w:val="white"/>
                <w:lang w:val="hr-HR"/>
              </w:rPr>
            </w:pPr>
            <w:r w:rsidRPr="007B2905">
              <w:rPr>
                <w:rFonts w:eastAsia="Verdana"/>
                <w:highlight w:val="white"/>
                <w:lang w:val="hr-HR"/>
              </w:rPr>
              <w:t>4.2.2.2. Kvalitativnom ocjenom dva nezavisna liječnika, specijalista radiologije s najmanje 10 godina radnog iskustva, na temelju standardiziranog anketnog upitnika o kvaliteti snimke (</w:t>
            </w:r>
            <w:proofErr w:type="spellStart"/>
            <w:r w:rsidRPr="007B2905">
              <w:rPr>
                <w:rFonts w:eastAsia="Verdana"/>
                <w:highlight w:val="white"/>
                <w:lang w:val="hr-HR"/>
              </w:rPr>
              <w:t>Likertova</w:t>
            </w:r>
            <w:proofErr w:type="spellEnd"/>
            <w:r w:rsidRPr="007B2905">
              <w:rPr>
                <w:rFonts w:eastAsia="Verdana"/>
                <w:highlight w:val="white"/>
                <w:lang w:val="hr-HR"/>
              </w:rPr>
              <w:t xml:space="preserve"> ljestvica s 5 </w:t>
            </w:r>
            <w:r w:rsidR="007B2905">
              <w:rPr>
                <w:rFonts w:eastAsia="Verdana"/>
                <w:highlight w:val="white"/>
                <w:lang w:val="hr-HR"/>
              </w:rPr>
              <w:t>stupnjeva ocjene slike</w:t>
            </w:r>
            <w:r w:rsidRPr="007B2905">
              <w:rPr>
                <w:rFonts w:eastAsia="Verdana"/>
                <w:highlight w:val="white"/>
                <w:lang w:val="hr-HR"/>
              </w:rPr>
              <w:t>). Oba specijalista radiologije ocijenit će slikovne zapise svih ispitanika.</w:t>
            </w:r>
          </w:p>
          <w:p w:rsidR="002B3869" w:rsidRPr="007B2905" w:rsidRDefault="00140B61" w:rsidP="007B2905">
            <w:pPr>
              <w:jc w:val="both"/>
              <w:rPr>
                <w:rFonts w:eastAsia="Verdana"/>
                <w:highlight w:val="white"/>
                <w:lang w:val="hr-HR"/>
              </w:rPr>
            </w:pPr>
            <w:r w:rsidRPr="007B2905">
              <w:rPr>
                <w:rFonts w:eastAsia="Verdana"/>
                <w:highlight w:val="white"/>
                <w:lang w:val="hr-HR"/>
              </w:rPr>
              <w:t>4.3. Podatci će se prikupljati 6 mjeseci, po potrebi i duže, do ispunjenja kvote n</w:t>
            </w:r>
            <w:r w:rsidR="002018A9" w:rsidRPr="007B2905">
              <w:rPr>
                <w:rFonts w:eastAsia="Verdana"/>
                <w:highlight w:val="white"/>
                <w:lang w:val="hr-HR"/>
              </w:rPr>
              <w:t>ajmanjeg broja uzorka ispitanika za</w:t>
            </w:r>
            <w:r w:rsidRPr="007B2905">
              <w:rPr>
                <w:rFonts w:eastAsia="Verdana"/>
                <w:highlight w:val="white"/>
                <w:lang w:val="hr-HR"/>
              </w:rPr>
              <w:t xml:space="preserve"> </w:t>
            </w:r>
            <w:r w:rsidR="002018A9" w:rsidRPr="007B2905">
              <w:rPr>
                <w:rFonts w:eastAsia="Verdana"/>
                <w:highlight w:val="white"/>
                <w:lang w:val="hr-HR"/>
              </w:rPr>
              <w:t xml:space="preserve">željenu </w:t>
            </w:r>
            <w:r w:rsidRPr="007B2905">
              <w:rPr>
                <w:rFonts w:eastAsia="Verdana"/>
                <w:highlight w:val="white"/>
                <w:lang w:val="hr-HR"/>
              </w:rPr>
              <w:t>relevantnost istraživanja.</w:t>
            </w:r>
          </w:p>
        </w:tc>
      </w:tr>
      <w:tr w:rsidR="002B3869" w:rsidRPr="007B2905">
        <w:trPr>
          <w:trHeight w:val="420"/>
        </w:trPr>
        <w:tc>
          <w:tcPr>
            <w:tcW w:w="9781" w:type="dxa"/>
            <w:gridSpan w:val="3"/>
            <w:vAlign w:val="center"/>
          </w:tcPr>
          <w:p w:rsidR="002B3869" w:rsidRPr="007B2905" w:rsidRDefault="00140B61">
            <w:pPr>
              <w:rPr>
                <w:lang w:val="hr-HR"/>
              </w:rPr>
            </w:pPr>
            <w:r w:rsidRPr="007B2905">
              <w:rPr>
                <w:rFonts w:eastAsia="Verdana"/>
                <w:b/>
                <w:lang w:val="hr-HR"/>
              </w:rPr>
              <w:lastRenderedPageBreak/>
              <w:t>5. Mjesto istraživanja</w:t>
            </w:r>
          </w:p>
          <w:p w:rsidR="002B3869" w:rsidRPr="007B2905" w:rsidRDefault="00140B61" w:rsidP="007B2905">
            <w:pPr>
              <w:jc w:val="both"/>
              <w:rPr>
                <w:lang w:val="hr-HR"/>
              </w:rPr>
            </w:pPr>
            <w:r w:rsidRPr="007B2905">
              <w:rPr>
                <w:rFonts w:eastAsia="Verdana"/>
                <w:lang w:val="hr-HR"/>
              </w:rPr>
              <w:t xml:space="preserve">Istraživanje će se provesti na sekundarnoj razini zdravstvene zaštite, u Općoj bolnici Varaždin, </w:t>
            </w:r>
            <w:r w:rsidR="00407B24" w:rsidRPr="007B2905">
              <w:rPr>
                <w:rFonts w:eastAsia="Verdana"/>
                <w:lang w:val="hr-HR"/>
              </w:rPr>
              <w:t xml:space="preserve">na </w:t>
            </w:r>
            <w:r w:rsidRPr="007B2905">
              <w:rPr>
                <w:rFonts w:eastAsia="Verdana"/>
                <w:lang w:val="hr-HR"/>
              </w:rPr>
              <w:t>Odjelu radiologije.</w:t>
            </w:r>
          </w:p>
        </w:tc>
      </w:tr>
      <w:tr w:rsidR="002B3869" w:rsidRPr="007B2905">
        <w:trPr>
          <w:trHeight w:val="420"/>
        </w:trPr>
        <w:tc>
          <w:tcPr>
            <w:tcW w:w="9781" w:type="dxa"/>
            <w:gridSpan w:val="3"/>
            <w:vAlign w:val="center"/>
          </w:tcPr>
          <w:p w:rsidR="002B3869" w:rsidRPr="007B2905" w:rsidRDefault="00140B61">
            <w:pPr>
              <w:rPr>
                <w:lang w:val="hr-HR"/>
              </w:rPr>
            </w:pPr>
            <w:r w:rsidRPr="007B2905">
              <w:rPr>
                <w:rFonts w:eastAsia="Verdana"/>
                <w:b/>
                <w:lang w:val="hr-HR"/>
              </w:rPr>
              <w:t>6. Uzorak</w:t>
            </w:r>
          </w:p>
          <w:p w:rsidR="002B3869" w:rsidRPr="007B2905" w:rsidRDefault="00140B61">
            <w:pPr>
              <w:jc w:val="both"/>
              <w:rPr>
                <w:lang w:val="hr-HR"/>
              </w:rPr>
            </w:pPr>
            <w:r w:rsidRPr="007B2905">
              <w:rPr>
                <w:rFonts w:eastAsia="Verdana"/>
                <w:lang w:val="hr-HR"/>
              </w:rPr>
              <w:t xml:space="preserve">6.1.Svi pacijenti upućeni na </w:t>
            </w:r>
            <w:r w:rsidR="005A0F72" w:rsidRPr="007B2905">
              <w:rPr>
                <w:rFonts w:eastAsia="Verdana"/>
                <w:lang w:val="hr-HR"/>
              </w:rPr>
              <w:t xml:space="preserve">pregled angiografije donjih </w:t>
            </w:r>
            <w:r w:rsidR="00242501" w:rsidRPr="007B2905">
              <w:rPr>
                <w:rFonts w:eastAsia="Verdana"/>
                <w:lang w:val="hr-HR"/>
              </w:rPr>
              <w:t>udova</w:t>
            </w:r>
            <w:r w:rsidR="005A0F72" w:rsidRPr="007B2905">
              <w:rPr>
                <w:rFonts w:eastAsia="Verdana"/>
                <w:lang w:val="hr-HR"/>
              </w:rPr>
              <w:t xml:space="preserve"> višeslojnom računalnom tomografijom</w:t>
            </w:r>
            <w:r w:rsidRPr="007B2905">
              <w:rPr>
                <w:rFonts w:eastAsia="Verdana"/>
                <w:lang w:val="hr-HR"/>
              </w:rPr>
              <w:t xml:space="preserve"> koji su dobrovoljno pristali na istraživanje. Pacijenti će se </w:t>
            </w:r>
            <w:proofErr w:type="spellStart"/>
            <w:r w:rsidRPr="007B2905">
              <w:rPr>
                <w:rFonts w:eastAsia="Verdana"/>
                <w:lang w:val="hr-HR"/>
              </w:rPr>
              <w:t>randomizirati</w:t>
            </w:r>
            <w:proofErr w:type="spellEnd"/>
            <w:r w:rsidRPr="007B2905">
              <w:rPr>
                <w:rFonts w:eastAsia="Verdana"/>
                <w:lang w:val="hr-HR"/>
              </w:rPr>
              <w:t xml:space="preserve"> u </w:t>
            </w:r>
            <w:r w:rsidR="008D17FD" w:rsidRPr="007B2905">
              <w:rPr>
                <w:rFonts w:eastAsia="Verdana"/>
                <w:lang w:val="hr-HR"/>
              </w:rPr>
              <w:t xml:space="preserve">skupine </w:t>
            </w:r>
            <w:r w:rsidRPr="007B2905">
              <w:rPr>
                <w:rFonts w:eastAsia="Verdana"/>
                <w:lang w:val="hr-HR"/>
              </w:rPr>
              <w:t>pomoću računalne aplikacije prije početka pregleda.</w:t>
            </w:r>
          </w:p>
          <w:p w:rsidR="002B3869" w:rsidRPr="007B2905" w:rsidRDefault="00140B61">
            <w:pPr>
              <w:jc w:val="both"/>
              <w:rPr>
                <w:lang w:val="hr-HR"/>
              </w:rPr>
            </w:pPr>
            <w:r w:rsidRPr="007B2905">
              <w:rPr>
                <w:rFonts w:eastAsia="Verdana"/>
                <w:lang w:val="hr-HR"/>
              </w:rPr>
              <w:t>6.2. Iz istraživanja isključujemo ispitanike</w:t>
            </w:r>
            <w:r w:rsidR="00897FBA" w:rsidRPr="007B2905">
              <w:rPr>
                <w:rFonts w:eastAsia="Verdana"/>
                <w:lang w:val="hr-HR"/>
              </w:rPr>
              <w:t xml:space="preserve"> ako</w:t>
            </w:r>
            <w:r w:rsidRPr="007B2905">
              <w:rPr>
                <w:rFonts w:eastAsia="Verdana"/>
                <w:lang w:val="hr-HR"/>
              </w:rPr>
              <w:t>:</w:t>
            </w:r>
          </w:p>
          <w:p w:rsidR="002B3869" w:rsidRPr="007B2905" w:rsidRDefault="00140B61">
            <w:pPr>
              <w:jc w:val="both"/>
              <w:rPr>
                <w:lang w:val="hr-HR"/>
              </w:rPr>
            </w:pPr>
            <w:r w:rsidRPr="007B2905">
              <w:rPr>
                <w:rFonts w:eastAsia="Verdana"/>
                <w:lang w:val="hr-HR"/>
              </w:rPr>
              <w:t xml:space="preserve">6.2.1. </w:t>
            </w:r>
            <w:r w:rsidR="00266203" w:rsidRPr="007B2905">
              <w:rPr>
                <w:rFonts w:eastAsia="Verdana"/>
                <w:lang w:val="hr-HR"/>
              </w:rPr>
              <w:t>P</w:t>
            </w:r>
            <w:r w:rsidR="001E4E53" w:rsidRPr="007B2905">
              <w:rPr>
                <w:rFonts w:eastAsia="Verdana"/>
                <w:lang w:val="hr-HR"/>
              </w:rPr>
              <w:t>o</w:t>
            </w:r>
            <w:r w:rsidRPr="007B2905">
              <w:rPr>
                <w:rFonts w:eastAsia="Verdana"/>
                <w:lang w:val="hr-HR"/>
              </w:rPr>
              <w:t>stoji nemogućnost uspostave venskog puta željenom debljinom venske kanile (18</w:t>
            </w:r>
            <w:r w:rsidR="001E4E53" w:rsidRPr="007B2905">
              <w:rPr>
                <w:rFonts w:eastAsia="Verdana"/>
                <w:lang w:val="hr-HR"/>
              </w:rPr>
              <w:t xml:space="preserve"> </w:t>
            </w:r>
            <w:r w:rsidRPr="007B2905">
              <w:rPr>
                <w:rFonts w:eastAsia="Verdana"/>
                <w:lang w:val="hr-HR"/>
              </w:rPr>
              <w:t xml:space="preserve">G), odnosno, </w:t>
            </w:r>
            <w:r w:rsidR="001E4E53" w:rsidRPr="007B2905">
              <w:rPr>
                <w:rFonts w:eastAsia="Verdana"/>
                <w:lang w:val="hr-HR"/>
              </w:rPr>
              <w:t>ako</w:t>
            </w:r>
            <w:r w:rsidRPr="007B2905">
              <w:rPr>
                <w:rFonts w:eastAsia="Verdana"/>
                <w:lang w:val="hr-HR"/>
              </w:rPr>
              <w:t xml:space="preserve"> ne možemo postići željen protok bolusa kontrastnog sredstva (3</w:t>
            </w:r>
            <w:r w:rsidR="001E4E53" w:rsidRPr="007B2905">
              <w:rPr>
                <w:rFonts w:eastAsia="Verdana"/>
                <w:lang w:val="hr-HR"/>
              </w:rPr>
              <w:t xml:space="preserve"> </w:t>
            </w:r>
            <w:r w:rsidRPr="007B2905">
              <w:rPr>
                <w:rFonts w:eastAsia="Verdana"/>
                <w:lang w:val="hr-HR"/>
              </w:rPr>
              <w:t>ml/s)</w:t>
            </w:r>
            <w:r w:rsidR="001E4E53" w:rsidRPr="007B2905">
              <w:rPr>
                <w:rFonts w:eastAsia="Verdana"/>
                <w:lang w:val="hr-HR"/>
              </w:rPr>
              <w:t>,</w:t>
            </w:r>
          </w:p>
          <w:p w:rsidR="001E4E53" w:rsidRPr="007B2905" w:rsidRDefault="00140B61">
            <w:pPr>
              <w:jc w:val="both"/>
              <w:rPr>
                <w:rFonts w:eastAsia="Verdana"/>
                <w:lang w:val="hr-HR"/>
              </w:rPr>
            </w:pPr>
            <w:r w:rsidRPr="007B2905">
              <w:rPr>
                <w:rFonts w:eastAsia="Verdana"/>
                <w:lang w:val="hr-HR"/>
              </w:rPr>
              <w:t xml:space="preserve">6.2.2. </w:t>
            </w:r>
            <w:r w:rsidR="00266203" w:rsidRPr="007B2905">
              <w:rPr>
                <w:rFonts w:eastAsia="Verdana"/>
                <w:lang w:val="hr-HR"/>
              </w:rPr>
              <w:t>P</w:t>
            </w:r>
            <w:r w:rsidRPr="007B2905">
              <w:rPr>
                <w:rFonts w:eastAsia="Verdana"/>
                <w:lang w:val="hr-HR"/>
              </w:rPr>
              <w:t>ostoje morfološke promjene na</w:t>
            </w:r>
            <w:r w:rsidR="001E4E53" w:rsidRPr="007B2905">
              <w:rPr>
                <w:rFonts w:eastAsia="Verdana"/>
                <w:lang w:val="hr-HR"/>
              </w:rPr>
              <w:t xml:space="preserve"> mjerenim interesnim područjima</w:t>
            </w:r>
            <w:r w:rsidR="00266203" w:rsidRPr="007B2905">
              <w:rPr>
                <w:rFonts w:eastAsia="Verdana"/>
                <w:lang w:val="hr-HR"/>
              </w:rPr>
              <w:t>,</w:t>
            </w:r>
          </w:p>
          <w:p w:rsidR="002B3869" w:rsidRPr="007B2905" w:rsidRDefault="00140B61">
            <w:pPr>
              <w:jc w:val="both"/>
              <w:rPr>
                <w:lang w:val="hr-HR"/>
              </w:rPr>
            </w:pPr>
            <w:r w:rsidRPr="007B2905">
              <w:rPr>
                <w:rFonts w:eastAsia="Verdana"/>
                <w:lang w:val="hr-HR"/>
              </w:rPr>
              <w:t xml:space="preserve">6.2.3. </w:t>
            </w:r>
            <w:r w:rsidR="00266203" w:rsidRPr="007B2905">
              <w:rPr>
                <w:rFonts w:eastAsia="Verdana"/>
                <w:lang w:val="hr-HR"/>
              </w:rPr>
              <w:t>Ne mogu zadržati dah 40 sekundi,</w:t>
            </w:r>
          </w:p>
          <w:p w:rsidR="002B3869" w:rsidRPr="007B2905" w:rsidRDefault="00140B61">
            <w:pPr>
              <w:jc w:val="both"/>
              <w:rPr>
                <w:lang w:val="hr-HR"/>
              </w:rPr>
            </w:pPr>
            <w:r w:rsidRPr="007B2905">
              <w:rPr>
                <w:rFonts w:eastAsia="Verdana"/>
                <w:lang w:val="hr-HR"/>
              </w:rPr>
              <w:t xml:space="preserve">6.2.4. </w:t>
            </w:r>
            <w:r w:rsidR="00266203" w:rsidRPr="007B2905">
              <w:rPr>
                <w:rFonts w:eastAsia="Verdana"/>
                <w:lang w:val="hr-HR"/>
              </w:rPr>
              <w:t>Nisu bili mirni tijekom snimanja,</w:t>
            </w:r>
          </w:p>
          <w:p w:rsidR="002B3869" w:rsidRPr="007B2905" w:rsidRDefault="00140B61">
            <w:pPr>
              <w:jc w:val="both"/>
              <w:rPr>
                <w:lang w:val="hr-HR"/>
              </w:rPr>
            </w:pPr>
            <w:r w:rsidRPr="007B2905">
              <w:rPr>
                <w:rFonts w:eastAsia="Verdana"/>
                <w:lang w:val="hr-HR"/>
              </w:rPr>
              <w:t xml:space="preserve">6.2.5. </w:t>
            </w:r>
            <w:r w:rsidR="00266203" w:rsidRPr="007B2905">
              <w:rPr>
                <w:rFonts w:eastAsia="Verdana"/>
                <w:lang w:val="hr-HR"/>
              </w:rPr>
              <w:t>I</w:t>
            </w:r>
            <w:r w:rsidR="00227048" w:rsidRPr="007B2905">
              <w:rPr>
                <w:rFonts w:eastAsia="Verdana"/>
                <w:lang w:val="hr-HR"/>
              </w:rPr>
              <w:t>maju tjelesnu masu veću</w:t>
            </w:r>
            <w:r w:rsidRPr="007B2905">
              <w:rPr>
                <w:rFonts w:eastAsia="Verdana"/>
                <w:lang w:val="hr-HR"/>
              </w:rPr>
              <w:t xml:space="preserve"> od 85</w:t>
            </w:r>
            <w:r w:rsidR="008C23D5" w:rsidRPr="007B2905">
              <w:rPr>
                <w:rFonts w:eastAsia="Verdana"/>
                <w:lang w:val="hr-HR"/>
              </w:rPr>
              <w:t xml:space="preserve"> </w:t>
            </w:r>
            <w:r w:rsidR="00266203" w:rsidRPr="007B2905">
              <w:rPr>
                <w:rFonts w:eastAsia="Verdana"/>
                <w:lang w:val="hr-HR"/>
              </w:rPr>
              <w:t>kilograma,</w:t>
            </w:r>
          </w:p>
          <w:p w:rsidR="002B3869" w:rsidRPr="007B2905" w:rsidRDefault="00140B61">
            <w:pPr>
              <w:jc w:val="both"/>
              <w:rPr>
                <w:lang w:val="hr-HR"/>
              </w:rPr>
            </w:pPr>
            <w:r w:rsidRPr="007B2905">
              <w:rPr>
                <w:rFonts w:eastAsia="Verdana"/>
                <w:lang w:val="hr-HR"/>
              </w:rPr>
              <w:t xml:space="preserve">6.2.6. </w:t>
            </w:r>
            <w:r w:rsidR="00266203" w:rsidRPr="007B2905">
              <w:rPr>
                <w:rFonts w:eastAsia="Verdana"/>
                <w:lang w:val="hr-HR"/>
              </w:rPr>
              <w:t>I</w:t>
            </w:r>
            <w:r w:rsidR="008C23D5" w:rsidRPr="007B2905">
              <w:rPr>
                <w:rFonts w:eastAsia="Verdana"/>
                <w:lang w:val="hr-HR"/>
              </w:rPr>
              <w:t>maju manje od</w:t>
            </w:r>
            <w:r w:rsidRPr="007B2905">
              <w:rPr>
                <w:rFonts w:eastAsia="Verdana"/>
                <w:lang w:val="hr-HR"/>
              </w:rPr>
              <w:t xml:space="preserve"> 18 godina.</w:t>
            </w:r>
          </w:p>
        </w:tc>
      </w:tr>
      <w:tr w:rsidR="002B3869" w:rsidRPr="007B2905">
        <w:trPr>
          <w:trHeight w:val="420"/>
        </w:trPr>
        <w:tc>
          <w:tcPr>
            <w:tcW w:w="9781" w:type="dxa"/>
            <w:gridSpan w:val="3"/>
            <w:vAlign w:val="center"/>
          </w:tcPr>
          <w:p w:rsidR="002B3869" w:rsidRPr="007B2905" w:rsidRDefault="00140B61">
            <w:pPr>
              <w:rPr>
                <w:lang w:val="hr-HR"/>
              </w:rPr>
            </w:pPr>
            <w:r w:rsidRPr="007B2905">
              <w:rPr>
                <w:rFonts w:eastAsia="Verdana"/>
                <w:b/>
                <w:lang w:val="hr-HR"/>
              </w:rPr>
              <w:t>7. Glavni ulazni podatci</w:t>
            </w:r>
          </w:p>
          <w:p w:rsidR="002B3869" w:rsidRPr="007B2905" w:rsidRDefault="00140B61">
            <w:pPr>
              <w:jc w:val="both"/>
              <w:rPr>
                <w:lang w:val="hr-HR"/>
              </w:rPr>
            </w:pPr>
            <w:r w:rsidRPr="007B2905">
              <w:rPr>
                <w:rFonts w:eastAsia="Verdana"/>
                <w:lang w:val="hr-HR"/>
              </w:rPr>
              <w:t>7.1. Bilježimo sljedeće podatke ispitanika: dob (god</w:t>
            </w:r>
            <w:r w:rsidR="00C4592B" w:rsidRPr="007B2905">
              <w:rPr>
                <w:rFonts w:eastAsia="Verdana"/>
                <w:lang w:val="hr-HR"/>
              </w:rPr>
              <w:t>.</w:t>
            </w:r>
            <w:r w:rsidRPr="007B2905">
              <w:rPr>
                <w:rFonts w:eastAsia="Verdana"/>
                <w:lang w:val="hr-HR"/>
              </w:rPr>
              <w:t>), masa (kg), visina (cm).</w:t>
            </w:r>
            <w:r w:rsidRPr="007B2905">
              <w:rPr>
                <w:rFonts w:eastAsia="Verdana"/>
                <w:lang w:val="hr-HR"/>
              </w:rPr>
              <w:br/>
              <w:t xml:space="preserve">7.2. Bilježimo dozu zračenja nakon snimanja </w:t>
            </w:r>
            <w:proofErr w:type="spellStart"/>
            <w:r w:rsidRPr="007B2905">
              <w:rPr>
                <w:rFonts w:eastAsia="Verdana"/>
                <w:highlight w:val="white"/>
                <w:lang w:val="hr-HR"/>
              </w:rPr>
              <w:t>CTDI</w:t>
            </w:r>
            <w:r w:rsidRPr="007B2905">
              <w:rPr>
                <w:rFonts w:eastAsia="Verdana"/>
                <w:highlight w:val="white"/>
                <w:vertAlign w:val="subscript"/>
                <w:lang w:val="hr-HR"/>
              </w:rPr>
              <w:t>vol</w:t>
            </w:r>
            <w:proofErr w:type="spellEnd"/>
            <w:r w:rsidRPr="007B2905">
              <w:rPr>
                <w:rFonts w:eastAsia="Verdana"/>
                <w:vertAlign w:val="subscript"/>
                <w:lang w:val="hr-HR"/>
              </w:rPr>
              <w:t xml:space="preserve"> </w:t>
            </w:r>
            <w:r w:rsidRPr="007B2905">
              <w:rPr>
                <w:rFonts w:eastAsia="Verdana"/>
                <w:lang w:val="hr-HR"/>
              </w:rPr>
              <w:t>(</w:t>
            </w:r>
            <w:proofErr w:type="spellStart"/>
            <w:r w:rsidRPr="007B2905">
              <w:rPr>
                <w:rFonts w:eastAsia="Verdana"/>
                <w:lang w:val="hr-HR"/>
              </w:rPr>
              <w:t>mGy</w:t>
            </w:r>
            <w:proofErr w:type="spellEnd"/>
            <w:r w:rsidRPr="007B2905">
              <w:rPr>
                <w:rFonts w:eastAsia="Verdana"/>
                <w:lang w:val="hr-HR"/>
              </w:rPr>
              <w:t>).</w:t>
            </w:r>
          </w:p>
          <w:p w:rsidR="000458E4" w:rsidRPr="007B2905" w:rsidRDefault="000458E4">
            <w:pPr>
              <w:jc w:val="both"/>
              <w:rPr>
                <w:rFonts w:eastAsia="Verdana"/>
                <w:lang w:val="hr-HR"/>
              </w:rPr>
            </w:pPr>
            <w:r w:rsidRPr="007B2905">
              <w:rPr>
                <w:rFonts w:eastAsia="Verdana"/>
                <w:lang w:val="hr-HR"/>
              </w:rPr>
              <w:t xml:space="preserve">7.3. </w:t>
            </w:r>
            <w:r w:rsidR="00140B61" w:rsidRPr="007B2905">
              <w:rPr>
                <w:rFonts w:eastAsia="Verdana"/>
                <w:lang w:val="hr-HR"/>
              </w:rPr>
              <w:t>Bilježimo kvantitativnu analizu kvalitete snimke</w:t>
            </w:r>
            <w:r w:rsidR="001E4E53" w:rsidRPr="007B2905">
              <w:rPr>
                <w:rFonts w:eastAsia="Verdana"/>
                <w:lang w:val="hr-HR"/>
              </w:rPr>
              <w:t>, točnije</w:t>
            </w:r>
            <w:r w:rsidR="00140B61" w:rsidRPr="007B2905">
              <w:rPr>
                <w:rFonts w:eastAsia="Verdana"/>
                <w:lang w:val="hr-HR"/>
              </w:rPr>
              <w:t>:</w:t>
            </w:r>
          </w:p>
          <w:p w:rsidR="002B3869" w:rsidRPr="007B2905" w:rsidRDefault="00140B61">
            <w:pPr>
              <w:jc w:val="both"/>
              <w:rPr>
                <w:lang w:val="hr-HR"/>
              </w:rPr>
            </w:pPr>
            <w:r w:rsidRPr="007B2905">
              <w:rPr>
                <w:rFonts w:eastAsia="Verdana"/>
                <w:lang w:val="hr-HR"/>
              </w:rPr>
              <w:t xml:space="preserve">7.3.1. Intenzitet signala </w:t>
            </w:r>
            <w:r w:rsidR="00AE1728" w:rsidRPr="007B2905">
              <w:rPr>
                <w:rFonts w:eastAsia="Verdana"/>
                <w:lang w:val="hr-HR"/>
              </w:rPr>
              <w:t>(</w:t>
            </w:r>
            <w:r w:rsidR="007F13E6" w:rsidRPr="007B2905">
              <w:rPr>
                <w:rFonts w:eastAsia="Verdana"/>
                <w:lang w:val="hr-HR"/>
              </w:rPr>
              <w:t>SI</w:t>
            </w:r>
            <w:r w:rsidR="00AE1728" w:rsidRPr="007B2905">
              <w:rPr>
                <w:rFonts w:eastAsia="Verdana"/>
                <w:lang w:val="hr-HR"/>
              </w:rPr>
              <w:t xml:space="preserve">), </w:t>
            </w:r>
            <w:r w:rsidRPr="007B2905">
              <w:rPr>
                <w:rFonts w:eastAsia="Verdana"/>
                <w:lang w:val="hr-HR"/>
              </w:rPr>
              <w:t>za sva tri stan</w:t>
            </w:r>
            <w:r w:rsidR="001E4E53" w:rsidRPr="007B2905">
              <w:rPr>
                <w:rFonts w:eastAsia="Verdana"/>
                <w:lang w:val="hr-HR"/>
              </w:rPr>
              <w:t>dardizirana interesna područja</w:t>
            </w:r>
            <w:r w:rsidR="000458E4" w:rsidRPr="007B2905">
              <w:rPr>
                <w:rFonts w:eastAsia="Verdana"/>
                <w:lang w:val="hr-HR"/>
              </w:rPr>
              <w:t xml:space="preserve"> </w:t>
            </w:r>
            <w:r w:rsidR="00AE1728" w:rsidRPr="007B2905">
              <w:rPr>
                <w:rFonts w:eastAsia="Verdana"/>
                <w:lang w:val="hr-HR"/>
              </w:rPr>
              <w:t>(HU)</w:t>
            </w:r>
            <w:r w:rsidR="00266203" w:rsidRPr="007B2905">
              <w:rPr>
                <w:rFonts w:eastAsia="Verdana"/>
                <w:lang w:val="hr-HR"/>
              </w:rPr>
              <w:t>.</w:t>
            </w:r>
          </w:p>
          <w:p w:rsidR="002A6B96" w:rsidRPr="007B2905" w:rsidRDefault="00140B61">
            <w:pPr>
              <w:jc w:val="both"/>
              <w:rPr>
                <w:rFonts w:eastAsia="Verdana"/>
                <w:color w:val="000000" w:themeColor="text1"/>
                <w:shd w:val="clear" w:color="auto" w:fill="FFFFFF"/>
              </w:rPr>
            </w:pPr>
            <w:r w:rsidRPr="007B2905">
              <w:rPr>
                <w:rFonts w:eastAsia="Verdana"/>
                <w:lang w:val="hr-HR"/>
              </w:rPr>
              <w:t xml:space="preserve">7.3.2. Izračunavamo podatke </w:t>
            </w:r>
            <w:r w:rsidR="008F0039" w:rsidRPr="007B2905">
              <w:rPr>
                <w:rFonts w:eastAsia="Verdana"/>
                <w:lang w:val="hr-HR"/>
              </w:rPr>
              <w:t xml:space="preserve">važne </w:t>
            </w:r>
            <w:r w:rsidRPr="007B2905">
              <w:rPr>
                <w:rFonts w:eastAsia="Verdana"/>
                <w:lang w:val="hr-HR"/>
              </w:rPr>
              <w:t>za kvantitativnu analizu snimke</w:t>
            </w:r>
            <w:r w:rsidR="009B766B" w:rsidRPr="007B2905">
              <w:rPr>
                <w:rFonts w:eastAsia="Verdana"/>
                <w:lang w:val="hr-HR"/>
              </w:rPr>
              <w:t>,</w:t>
            </w:r>
            <w:r w:rsidR="001E4E53" w:rsidRPr="007B2905">
              <w:rPr>
                <w:rFonts w:eastAsia="Verdana"/>
                <w:lang w:val="hr-HR"/>
              </w:rPr>
              <w:t xml:space="preserve"> točnije</w:t>
            </w:r>
            <w:r w:rsidR="000458E4" w:rsidRPr="007B2905">
              <w:rPr>
                <w:rFonts w:eastAsia="Verdana"/>
                <w:lang w:val="hr-HR"/>
              </w:rPr>
              <w:t>:</w:t>
            </w:r>
            <w:r w:rsidR="000458E4" w:rsidRPr="007B2905">
              <w:rPr>
                <w:rFonts w:eastAsia="Verdana"/>
                <w:lang w:val="hr-HR"/>
              </w:rPr>
              <w:br/>
              <w:t>7.3.2.1. Izračun</w:t>
            </w:r>
            <w:r w:rsidRPr="007B2905">
              <w:rPr>
                <w:rFonts w:eastAsia="Verdana"/>
                <w:lang w:val="hr-HR"/>
              </w:rPr>
              <w:t xml:space="preserve"> odnosa signal</w:t>
            </w:r>
            <w:r w:rsidR="00A50425" w:rsidRPr="007B2905">
              <w:rPr>
                <w:rFonts w:eastAsia="Verdana"/>
                <w:lang w:val="hr-HR"/>
              </w:rPr>
              <w:t xml:space="preserve"> – </w:t>
            </w:r>
            <w:r w:rsidRPr="007B2905">
              <w:rPr>
                <w:rFonts w:eastAsia="Verdana"/>
                <w:lang w:val="hr-HR"/>
              </w:rPr>
              <w:t xml:space="preserve">šum (SNR) na tri </w:t>
            </w:r>
            <w:r w:rsidR="001D3C98" w:rsidRPr="007B2905">
              <w:rPr>
                <w:rFonts w:eastAsia="Verdana"/>
                <w:lang w:val="hr-HR"/>
              </w:rPr>
              <w:t>standardizirana</w:t>
            </w:r>
            <w:r w:rsidRPr="007B2905">
              <w:rPr>
                <w:rFonts w:eastAsia="Verdana"/>
                <w:lang w:val="hr-HR"/>
              </w:rPr>
              <w:t xml:space="preserve"> </w:t>
            </w:r>
            <w:r w:rsidR="001E4E53" w:rsidRPr="007B2905">
              <w:rPr>
                <w:rFonts w:eastAsia="Verdana"/>
                <w:lang w:val="hr-HR"/>
              </w:rPr>
              <w:t>interesna područja</w:t>
            </w:r>
            <w:r w:rsidR="00AE1728" w:rsidRPr="007B2905">
              <w:rPr>
                <w:rFonts w:eastAsia="Verdana"/>
                <w:lang w:val="hr-HR"/>
              </w:rPr>
              <w:t xml:space="preserve"> (dB)</w:t>
            </w:r>
            <w:r w:rsidR="000458E4" w:rsidRPr="007B2905">
              <w:rPr>
                <w:rFonts w:eastAsia="Verdana"/>
                <w:lang w:val="hr-HR"/>
              </w:rPr>
              <w:t xml:space="preserve">. SNR dobijemo ako podijelimo intenzitet signala (SI) s pozadinskim šumom (SD), a kako bi </w:t>
            </w:r>
            <w:r w:rsidR="002A6B96" w:rsidRPr="007B2905">
              <w:rPr>
                <w:rFonts w:eastAsia="Verdana"/>
                <w:lang w:val="hr-HR"/>
              </w:rPr>
              <w:t xml:space="preserve">odnos </w:t>
            </w:r>
            <w:r w:rsidR="000458E4" w:rsidRPr="007B2905">
              <w:rPr>
                <w:rFonts w:eastAsia="Verdana"/>
                <w:lang w:val="hr-HR"/>
              </w:rPr>
              <w:t>izrazili u decibelima, koristimo slijedeći izraz</w:t>
            </w:r>
            <w:r w:rsidR="002A6B96" w:rsidRPr="007B2905">
              <w:rPr>
                <w:rFonts w:eastAsia="Verdana"/>
                <w:lang w:val="hr-HR"/>
              </w:rPr>
              <w:t xml:space="preserve">: </w:t>
            </w:r>
            <m:oMath>
              <m:r>
                <w:rPr>
                  <w:rFonts w:ascii="Cambria Math" w:hAnsi="Cambria Math"/>
                  <w:color w:val="000000" w:themeColor="text1"/>
                  <w:shd w:val="clear" w:color="auto" w:fill="FFFFFF"/>
                </w:rPr>
                <m:t>SNR</m:t>
              </m:r>
              <m:r>
                <w:rPr>
                  <w:rFonts w:ascii="Cambria Math"/>
                  <w:color w:val="000000" w:themeColor="text1"/>
                  <w:shd w:val="clear" w:color="auto" w:fill="FFFFFF"/>
                </w:rPr>
                <m:t xml:space="preserve">=10 </m:t>
              </m:r>
              <m:r>
                <w:rPr>
                  <w:rFonts w:ascii="Cambria Math" w:hAnsi="Cambria Math"/>
                  <w:color w:val="000000" w:themeColor="text1"/>
                  <w:shd w:val="clear" w:color="auto" w:fill="FFFFFF"/>
                </w:rPr>
                <m:t>x</m:t>
              </m:r>
              <m:r>
                <w:rPr>
                  <w:rFonts w:ascii="Cambria Math"/>
                  <w:color w:val="000000" w:themeColor="text1"/>
                  <w:shd w:val="clear" w:color="auto" w:fill="FFFFFF"/>
                </w:rPr>
                <m:t xml:space="preserve"> </m:t>
              </m:r>
              <m:func>
                <m:funcPr>
                  <m:ctrlPr>
                    <w:rPr>
                      <w:rFonts w:ascii="Cambria Math"/>
                      <w:i/>
                      <w:color w:val="000000" w:themeColor="text1"/>
                      <w:shd w:val="clear" w:color="auto" w:fill="FFFFFF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/>
                          <w:color w:val="000000" w:themeColor="text1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hd w:val="clear" w:color="auto" w:fill="FFFFFF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color w:val="000000" w:themeColor="text1"/>
                          <w:shd w:val="clear" w:color="auto" w:fill="FFFFFF"/>
                        </w:rPr>
                        <m:t xml:space="preserve">10 </m:t>
                      </m:r>
                    </m:sub>
                  </m:sSub>
                  <m:ctrlPr>
                    <w:rPr>
                      <w:rFonts w:ascii="Cambria Math"/>
                      <w:color w:val="000000" w:themeColor="text1"/>
                      <w:shd w:val="clear" w:color="auto" w:fill="FFFFFF"/>
                    </w:rPr>
                  </m:ctrlPr>
                </m:fName>
                <m:e>
                  <m:f>
                    <m:fPr>
                      <m:ctrlPr>
                        <w:rPr>
                          <w:rFonts w:ascii="Cambria Math"/>
                          <w:i/>
                          <w:color w:val="000000" w:themeColor="text1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hd w:val="clear" w:color="auto" w:fill="FFFFFF"/>
                        </w:rPr>
                        <m:t>SI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hd w:val="clear" w:color="auto" w:fill="FFFFFF"/>
                        </w:rPr>
                        <m:t>SD</m:t>
                      </m:r>
                    </m:den>
                  </m:f>
                </m:e>
              </m:func>
            </m:oMath>
            <w:r w:rsidR="002A6B96" w:rsidRPr="007B2905">
              <w:rPr>
                <w:rFonts w:eastAsia="Verdana"/>
                <w:color w:val="000000" w:themeColor="text1"/>
                <w:shd w:val="clear" w:color="auto" w:fill="FFFFFF"/>
              </w:rPr>
              <w:t xml:space="preserve"> .</w:t>
            </w:r>
          </w:p>
          <w:p w:rsidR="002A6B96" w:rsidRPr="007B2905" w:rsidRDefault="000458E4">
            <w:pPr>
              <w:jc w:val="both"/>
              <w:rPr>
                <w:rFonts w:eastAsia="Verdana"/>
                <w:lang w:val="hr-HR"/>
              </w:rPr>
            </w:pPr>
            <w:r w:rsidRPr="007B2905">
              <w:rPr>
                <w:rFonts w:eastAsia="Verdana"/>
                <w:lang w:val="hr-HR"/>
              </w:rPr>
              <w:t>7.3.2.2. Izračun</w:t>
            </w:r>
            <w:r w:rsidR="00140B61" w:rsidRPr="007B2905">
              <w:rPr>
                <w:rFonts w:eastAsia="Verdana"/>
                <w:lang w:val="hr-HR"/>
              </w:rPr>
              <w:t xml:space="preserve"> odnosa kontrast</w:t>
            </w:r>
            <w:r w:rsidR="00B250EC" w:rsidRPr="007B2905">
              <w:rPr>
                <w:rFonts w:eastAsia="Verdana"/>
                <w:lang w:val="hr-HR"/>
              </w:rPr>
              <w:t xml:space="preserve"> – </w:t>
            </w:r>
            <w:r w:rsidR="00140B61" w:rsidRPr="007B2905">
              <w:rPr>
                <w:rFonts w:eastAsia="Verdana"/>
                <w:lang w:val="hr-HR"/>
              </w:rPr>
              <w:t xml:space="preserve">šum (CNR) na tri </w:t>
            </w:r>
            <w:r w:rsidR="001D3C98" w:rsidRPr="007B2905">
              <w:rPr>
                <w:rFonts w:eastAsia="Verdana"/>
                <w:lang w:val="hr-HR"/>
              </w:rPr>
              <w:t>standardizirana</w:t>
            </w:r>
            <w:r w:rsidR="00140B61" w:rsidRPr="007B2905">
              <w:rPr>
                <w:rFonts w:eastAsia="Verdana"/>
                <w:lang w:val="hr-HR"/>
              </w:rPr>
              <w:t xml:space="preserve"> </w:t>
            </w:r>
            <w:r w:rsidR="001E4E53" w:rsidRPr="007B2905">
              <w:rPr>
                <w:rFonts w:eastAsia="Verdana"/>
                <w:lang w:val="hr-HR"/>
              </w:rPr>
              <w:t>interesna područja</w:t>
            </w:r>
            <w:r w:rsidR="00AE1728" w:rsidRPr="007B2905">
              <w:rPr>
                <w:rFonts w:eastAsia="Verdana"/>
                <w:lang w:val="hr-HR"/>
              </w:rPr>
              <w:t xml:space="preserve"> (dB)</w:t>
            </w:r>
            <w:r w:rsidR="00140B61" w:rsidRPr="007B2905">
              <w:rPr>
                <w:rFonts w:eastAsia="Verdana"/>
                <w:lang w:val="hr-HR"/>
              </w:rPr>
              <w:t>.</w:t>
            </w:r>
            <w:r w:rsidR="002A6B96" w:rsidRPr="007B2905">
              <w:rPr>
                <w:rFonts w:eastAsia="Verdana"/>
                <w:lang w:val="hr-HR"/>
              </w:rPr>
              <w:t xml:space="preserve"> CNR dobijemo ako razliku intenziteta signala u krvnoj žili (</w:t>
            </w:r>
            <w:proofErr w:type="spellStart"/>
            <w:r w:rsidR="002A6B96" w:rsidRPr="007B2905">
              <w:rPr>
                <w:rFonts w:eastAsia="Verdana"/>
                <w:lang w:val="hr-HR"/>
              </w:rPr>
              <w:t>SI</w:t>
            </w:r>
            <w:r w:rsidR="002A6B96" w:rsidRPr="007B2905">
              <w:rPr>
                <w:rFonts w:eastAsia="Verdana"/>
                <w:vertAlign w:val="subscript"/>
                <w:lang w:val="hr-HR"/>
              </w:rPr>
              <w:t>k</w:t>
            </w:r>
            <w:proofErr w:type="spellEnd"/>
            <w:r w:rsidR="002A6B96" w:rsidRPr="007B2905">
              <w:rPr>
                <w:rFonts w:eastAsia="Verdana"/>
                <w:lang w:val="hr-HR"/>
              </w:rPr>
              <w:t>) i intenziteta signala u okolnom tkivu podijelimo (</w:t>
            </w:r>
            <w:proofErr w:type="spellStart"/>
            <w:r w:rsidR="002A6B96" w:rsidRPr="007B2905">
              <w:rPr>
                <w:rFonts w:eastAsia="Verdana"/>
                <w:lang w:val="hr-HR"/>
              </w:rPr>
              <w:t>SI</w:t>
            </w:r>
            <w:r w:rsidR="002A6B96" w:rsidRPr="007B2905">
              <w:rPr>
                <w:rFonts w:eastAsia="Verdana"/>
                <w:vertAlign w:val="subscript"/>
                <w:lang w:val="hr-HR"/>
              </w:rPr>
              <w:t>o</w:t>
            </w:r>
            <w:proofErr w:type="spellEnd"/>
            <w:r w:rsidR="002A6B96" w:rsidRPr="007B2905">
              <w:rPr>
                <w:rFonts w:eastAsia="Verdana"/>
                <w:lang w:val="hr-HR"/>
              </w:rPr>
              <w:t xml:space="preserve">) s pozadinskim šumom (SD), a kako bi odnos izrazili u decibelima, koristimo slijedeći izraz: </w:t>
            </w:r>
            <m:oMath>
              <m:r>
                <w:rPr>
                  <w:rFonts w:ascii="Cambria Math" w:hAnsi="Cambria Math"/>
                  <w:color w:val="000000" w:themeColor="text1"/>
                  <w:shd w:val="clear" w:color="auto" w:fill="FFFFFF"/>
                </w:rPr>
                <m:t>CNR</m:t>
              </m:r>
              <m:r>
                <w:rPr>
                  <w:rFonts w:ascii="Cambria Math"/>
                  <w:color w:val="000000" w:themeColor="text1"/>
                  <w:shd w:val="clear" w:color="auto" w:fill="FFFFFF"/>
                </w:rPr>
                <m:t xml:space="preserve">=10 </m:t>
              </m:r>
              <m:r>
                <w:rPr>
                  <w:rFonts w:ascii="Cambria Math" w:hAnsi="Cambria Math"/>
                  <w:color w:val="000000" w:themeColor="text1"/>
                  <w:shd w:val="clear" w:color="auto" w:fill="FFFFFF"/>
                </w:rPr>
                <m:t>x</m:t>
              </m:r>
              <m:r>
                <w:rPr>
                  <w:rFonts w:ascii="Cambria Math"/>
                  <w:color w:val="000000" w:themeColor="text1"/>
                  <w:shd w:val="clear" w:color="auto" w:fill="FFFFFF"/>
                </w:rPr>
                <m:t xml:space="preserve"> </m:t>
              </m:r>
              <m:func>
                <m:funcPr>
                  <m:ctrlPr>
                    <w:rPr>
                      <w:rFonts w:ascii="Cambria Math"/>
                      <w:i/>
                      <w:color w:val="000000" w:themeColor="text1"/>
                      <w:shd w:val="clear" w:color="auto" w:fill="FFFFFF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/>
                          <w:color w:val="000000" w:themeColor="text1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hd w:val="clear" w:color="auto" w:fill="FFFFFF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color w:val="000000" w:themeColor="text1"/>
                          <w:shd w:val="clear" w:color="auto" w:fill="FFFFFF"/>
                        </w:rPr>
                        <m:t>10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/>
                          <w:i/>
                          <w:color w:val="000000" w:themeColor="text1"/>
                          <w:shd w:val="clear" w:color="auto" w:fill="FFFFFF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/>
                              <w:i/>
                              <w:color w:val="000000" w:themeColor="text1"/>
                              <w:shd w:val="clear" w:color="auto" w:fill="FFFFFF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Verdana"/>
                                  <w:lang w:val="hr-H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Verdana" w:hAnsi="Cambria Math"/>
                                  <w:lang w:val="hr-HR"/>
                                </w:rPr>
                                <m:t>SI</m:t>
                              </m:r>
                            </m:e>
                            <m:sub>
                              <m:r>
                                <w:rPr>
                                  <w:rFonts w:ascii="Cambria Math" w:eastAsia="Verdana" w:hAnsi="Cambria Math"/>
                                  <w:lang w:val="hr-HR"/>
                                </w:rPr>
                                <m:t>k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eastAsia="Verdana"/>
                              <w:vertAlign w:val="subscript"/>
                              <w:lang w:val="hr-HR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Verdana"/>
                                  <w:vertAlign w:val="subscript"/>
                                  <w:lang w:val="hr-H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Verdana" w:hAnsi="Cambria Math"/>
                                  <w:vertAlign w:val="subscript"/>
                                  <w:lang w:val="hr-HR"/>
                                </w:rPr>
                                <m:t>SI</m:t>
                              </m:r>
                            </m:e>
                            <m:sub>
                              <m:r>
                                <w:rPr>
                                  <w:rFonts w:ascii="Cambria Math" w:eastAsia="Verdana" w:hAnsi="Cambria Math"/>
                                  <w:vertAlign w:val="subscript"/>
                                  <w:lang w:val="hr-HR"/>
                                </w:rPr>
                                <m:t>o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  <w:shd w:val="clear" w:color="auto" w:fill="FFFFFF"/>
                            </w:rPr>
                            <m:t>SD</m:t>
                          </m:r>
                        </m:den>
                      </m:f>
                    </m:e>
                  </m:d>
                </m:e>
              </m:func>
            </m:oMath>
            <w:r w:rsidR="002A6B96" w:rsidRPr="007B2905">
              <w:rPr>
                <w:rFonts w:eastAsia="Verdana"/>
                <w:color w:val="000000" w:themeColor="text1"/>
                <w:shd w:val="clear" w:color="auto" w:fill="FFFFFF"/>
              </w:rPr>
              <w:t>.</w:t>
            </w:r>
          </w:p>
          <w:p w:rsidR="002B3869" w:rsidRPr="00F32BFD" w:rsidRDefault="00140B61">
            <w:pPr>
              <w:jc w:val="both"/>
              <w:rPr>
                <w:rFonts w:eastAsia="Verdana"/>
                <w:lang w:val="hr-HR"/>
              </w:rPr>
            </w:pPr>
            <w:r w:rsidRPr="007B2905">
              <w:rPr>
                <w:rFonts w:eastAsia="Verdana"/>
                <w:lang w:val="hr-HR"/>
              </w:rPr>
              <w:t xml:space="preserve">7.4. Bilježimo kvalitativnu analizu </w:t>
            </w:r>
            <w:r w:rsidR="00266203" w:rsidRPr="007B2905">
              <w:rPr>
                <w:rFonts w:eastAsia="Verdana"/>
                <w:lang w:val="hr-HR"/>
              </w:rPr>
              <w:t>radiološkog prikaza</w:t>
            </w:r>
            <w:r w:rsidR="001E4E53" w:rsidRPr="007B2905">
              <w:rPr>
                <w:rFonts w:eastAsia="Verdana"/>
                <w:lang w:val="hr-HR"/>
              </w:rPr>
              <w:t xml:space="preserve"> (svaku snimku ocijenit će dva radiologa).</w:t>
            </w:r>
            <w:r w:rsidRPr="007B2905">
              <w:rPr>
                <w:rFonts w:eastAsia="Verdana"/>
                <w:lang w:val="hr-HR"/>
              </w:rPr>
              <w:t xml:space="preserve"> </w:t>
            </w:r>
            <w:r w:rsidR="00F32BFD">
              <w:rPr>
                <w:rFonts w:eastAsia="Verdana"/>
                <w:lang w:val="hr-HR"/>
              </w:rPr>
              <w:t>Radiolog</w:t>
            </w:r>
            <w:r w:rsidRPr="007B2905">
              <w:rPr>
                <w:rFonts w:eastAsia="Verdana"/>
                <w:lang w:val="hr-HR"/>
              </w:rPr>
              <w:t xml:space="preserve"> odabire subjektivnu ocjenu kvalitete snimke, ocjenama od 1 (loša snimka bez dijagnostičke vrijednosti), 2 (loša snimka koja ne može dati</w:t>
            </w:r>
            <w:r w:rsidR="004E68E2" w:rsidRPr="007B2905">
              <w:rPr>
                <w:rFonts w:eastAsia="Verdana"/>
                <w:lang w:val="hr-HR"/>
              </w:rPr>
              <w:t xml:space="preserve"> valjanju</w:t>
            </w:r>
            <w:r w:rsidR="0047326B" w:rsidRPr="007B2905">
              <w:rPr>
                <w:rFonts w:eastAsia="Verdana"/>
                <w:lang w:val="hr-HR"/>
              </w:rPr>
              <w:t xml:space="preserve"> </w:t>
            </w:r>
            <w:r w:rsidRPr="007B2905">
              <w:rPr>
                <w:rFonts w:eastAsia="Verdana"/>
                <w:lang w:val="hr-HR"/>
              </w:rPr>
              <w:t xml:space="preserve">dijagnozu), 3 (osrednja snimka, no dovoljna za postavljanje dijagnoze), 4 (dobra snimka koja jasno prikazuje anatomske strukture), 5 (odlična snimka </w:t>
            </w:r>
            <w:r w:rsidR="005A23FB" w:rsidRPr="007B2905">
              <w:rPr>
                <w:rFonts w:eastAsia="Verdana"/>
                <w:lang w:val="hr-HR"/>
              </w:rPr>
              <w:t xml:space="preserve">s </w:t>
            </w:r>
            <w:r w:rsidRPr="007B2905">
              <w:rPr>
                <w:rFonts w:eastAsia="Verdana"/>
                <w:lang w:val="hr-HR"/>
              </w:rPr>
              <w:t>pomoću koje se mogu detaljno analizirati i sićušne anatomske strukture)</w:t>
            </w:r>
            <w:r w:rsidR="00350280" w:rsidRPr="007B2905">
              <w:rPr>
                <w:rFonts w:eastAsia="Verdana"/>
                <w:lang w:val="hr-HR"/>
              </w:rPr>
              <w:t>.</w:t>
            </w:r>
          </w:p>
        </w:tc>
      </w:tr>
      <w:tr w:rsidR="002B3869" w:rsidRPr="007B2905">
        <w:trPr>
          <w:trHeight w:val="420"/>
        </w:trPr>
        <w:tc>
          <w:tcPr>
            <w:tcW w:w="9781" w:type="dxa"/>
            <w:gridSpan w:val="3"/>
            <w:vAlign w:val="center"/>
          </w:tcPr>
          <w:p w:rsidR="002B3869" w:rsidRPr="007B2905" w:rsidRDefault="00140B61">
            <w:pPr>
              <w:jc w:val="both"/>
              <w:rPr>
                <w:lang w:val="hr-HR"/>
              </w:rPr>
            </w:pPr>
            <w:r w:rsidRPr="007B2905">
              <w:rPr>
                <w:rFonts w:eastAsia="Verdana"/>
                <w:b/>
                <w:lang w:val="hr-HR"/>
              </w:rPr>
              <w:t>8. Intervencija</w:t>
            </w:r>
          </w:p>
          <w:p w:rsidR="004E68E2" w:rsidRPr="007B2905" w:rsidRDefault="00140B61" w:rsidP="004E68E2">
            <w:pPr>
              <w:jc w:val="both"/>
              <w:rPr>
                <w:rFonts w:eastAsia="Verdana"/>
                <w:lang w:val="hr-HR"/>
              </w:rPr>
            </w:pPr>
            <w:r w:rsidRPr="007B2905">
              <w:rPr>
                <w:rFonts w:eastAsia="Verdana"/>
                <w:lang w:val="hr-HR"/>
              </w:rPr>
              <w:t>8.1. Ispitanici će biti snim</w:t>
            </w:r>
            <w:r w:rsidR="005A0F72" w:rsidRPr="007B2905">
              <w:rPr>
                <w:rFonts w:eastAsia="Verdana"/>
                <w:lang w:val="hr-HR"/>
              </w:rPr>
              <w:t xml:space="preserve">ljeni s dva različita protokola </w:t>
            </w:r>
            <w:r w:rsidR="00242501" w:rsidRPr="007B2905">
              <w:rPr>
                <w:rFonts w:eastAsia="Verdana"/>
                <w:lang w:val="hr-HR"/>
              </w:rPr>
              <w:t>angiografije donjih udova</w:t>
            </w:r>
            <w:r w:rsidR="005A0F72" w:rsidRPr="007B2905">
              <w:rPr>
                <w:rFonts w:eastAsia="Verdana"/>
                <w:lang w:val="hr-HR"/>
              </w:rPr>
              <w:t xml:space="preserve"> 64-slojnom računalnom tomografijom</w:t>
            </w:r>
            <w:r w:rsidRPr="007B2905">
              <w:rPr>
                <w:rFonts w:eastAsia="Verdana"/>
                <w:lang w:val="hr-HR"/>
              </w:rPr>
              <w:t xml:space="preserve">, </w:t>
            </w:r>
            <w:r w:rsidR="00A17D82" w:rsidRPr="007B2905">
              <w:rPr>
                <w:rFonts w:eastAsia="Verdana"/>
                <w:lang w:val="hr-HR"/>
              </w:rPr>
              <w:t>„</w:t>
            </w:r>
            <w:proofErr w:type="spellStart"/>
            <w:r w:rsidRPr="007B2905">
              <w:rPr>
                <w:rFonts w:eastAsia="Verdana"/>
                <w:i/>
                <w:lang w:val="hr-HR"/>
              </w:rPr>
              <w:t>run</w:t>
            </w:r>
            <w:proofErr w:type="spellEnd"/>
            <w:r w:rsidRPr="007B2905">
              <w:rPr>
                <w:rFonts w:eastAsia="Verdana"/>
                <w:i/>
                <w:lang w:val="hr-HR"/>
              </w:rPr>
              <w:t>-</w:t>
            </w:r>
            <w:proofErr w:type="spellStart"/>
            <w:r w:rsidRPr="007B2905">
              <w:rPr>
                <w:rFonts w:eastAsia="Verdana"/>
                <w:i/>
                <w:lang w:val="hr-HR"/>
              </w:rPr>
              <w:t>off</w:t>
            </w:r>
            <w:proofErr w:type="spellEnd"/>
            <w:r w:rsidR="00A17D82" w:rsidRPr="007B2905">
              <w:rPr>
                <w:rFonts w:eastAsia="Verdana"/>
                <w:lang w:val="hr-HR"/>
              </w:rPr>
              <w:t>“</w:t>
            </w:r>
            <w:r w:rsidRPr="007B2905">
              <w:rPr>
                <w:rFonts w:eastAsia="Verdana"/>
                <w:lang w:val="hr-HR"/>
              </w:rPr>
              <w:t xml:space="preserve"> tehnikom</w:t>
            </w:r>
            <w:r w:rsidR="00F56A56" w:rsidRPr="007B2905">
              <w:rPr>
                <w:rFonts w:eastAsia="Verdana"/>
                <w:lang w:val="hr-HR"/>
              </w:rPr>
              <w:t>,</w:t>
            </w:r>
            <w:r w:rsidR="005A0F72" w:rsidRPr="007B2905">
              <w:rPr>
                <w:rFonts w:eastAsia="Verdana"/>
                <w:lang w:val="hr-HR"/>
              </w:rPr>
              <w:t xml:space="preserve"> točnije</w:t>
            </w:r>
            <w:r w:rsidRPr="007B2905">
              <w:rPr>
                <w:rFonts w:eastAsia="Verdana"/>
                <w:lang w:val="hr-HR"/>
              </w:rPr>
              <w:t>:</w:t>
            </w:r>
          </w:p>
          <w:p w:rsidR="002B3869" w:rsidRPr="007B2905" w:rsidRDefault="00140B61" w:rsidP="004E68E2">
            <w:pPr>
              <w:jc w:val="both"/>
              <w:rPr>
                <w:lang w:val="hr-HR"/>
              </w:rPr>
            </w:pPr>
            <w:r w:rsidRPr="007B2905">
              <w:rPr>
                <w:rFonts w:eastAsia="Verdana"/>
                <w:lang w:val="hr-HR"/>
              </w:rPr>
              <w:t xml:space="preserve">8.1.1. </w:t>
            </w:r>
            <w:r w:rsidR="001E4E53" w:rsidRPr="007B2905">
              <w:rPr>
                <w:rFonts w:eastAsia="Verdana"/>
                <w:lang w:val="hr-HR"/>
              </w:rPr>
              <w:t>Kontrolna</w:t>
            </w:r>
            <w:r w:rsidR="004E68E2" w:rsidRPr="007B2905">
              <w:rPr>
                <w:rFonts w:eastAsia="Verdana"/>
                <w:lang w:val="hr-HR"/>
              </w:rPr>
              <w:t xml:space="preserve"> skupina: 120 kV, 250 </w:t>
            </w:r>
            <w:proofErr w:type="spellStart"/>
            <w:r w:rsidR="004E68E2" w:rsidRPr="007B2905">
              <w:rPr>
                <w:rFonts w:eastAsia="Verdana"/>
                <w:lang w:val="hr-HR"/>
              </w:rPr>
              <w:t>mAs</w:t>
            </w:r>
            <w:proofErr w:type="spellEnd"/>
            <w:r w:rsidR="004E68E2" w:rsidRPr="007B2905">
              <w:rPr>
                <w:rFonts w:eastAsia="Verdana"/>
                <w:lang w:val="hr-HR"/>
              </w:rPr>
              <w:t xml:space="preserve">, </w:t>
            </w:r>
            <w:r w:rsidR="00266203" w:rsidRPr="007B2905">
              <w:rPr>
                <w:rFonts w:eastAsia="Verdana"/>
                <w:lang w:val="hr-HR"/>
              </w:rPr>
              <w:t xml:space="preserve">vrijeme ekspozicije 40 sekundi, vrijeme rotacije 0,5 s, </w:t>
            </w:r>
            <w:proofErr w:type="spellStart"/>
            <w:r w:rsidR="00266203" w:rsidRPr="007B2905">
              <w:rPr>
                <w:rFonts w:eastAsia="Verdana"/>
                <w:lang w:val="hr-HR"/>
              </w:rPr>
              <w:t>kolimacija</w:t>
            </w:r>
            <w:proofErr w:type="spellEnd"/>
            <w:r w:rsidR="00266203" w:rsidRPr="007B2905">
              <w:rPr>
                <w:rFonts w:eastAsia="Verdana"/>
                <w:lang w:val="hr-HR"/>
              </w:rPr>
              <w:t xml:space="preserve"> 64 x 0,6 mm, volumen </w:t>
            </w:r>
            <w:proofErr w:type="spellStart"/>
            <w:r w:rsidR="00266203" w:rsidRPr="007B2905">
              <w:rPr>
                <w:rFonts w:eastAsia="Verdana"/>
                <w:lang w:val="hr-HR"/>
              </w:rPr>
              <w:t>konstrastnog</w:t>
            </w:r>
            <w:proofErr w:type="spellEnd"/>
            <w:r w:rsidR="00266203" w:rsidRPr="007B2905">
              <w:rPr>
                <w:rFonts w:eastAsia="Verdana"/>
                <w:lang w:val="hr-HR"/>
              </w:rPr>
              <w:t xml:space="preserve"> sredstva: 100 ml, protok </w:t>
            </w:r>
            <w:proofErr w:type="spellStart"/>
            <w:r w:rsidR="00266203" w:rsidRPr="007B2905">
              <w:rPr>
                <w:rFonts w:eastAsia="Verdana"/>
                <w:lang w:val="hr-HR"/>
              </w:rPr>
              <w:t>konstrastnog</w:t>
            </w:r>
            <w:proofErr w:type="spellEnd"/>
            <w:r w:rsidR="00266203" w:rsidRPr="007B2905">
              <w:rPr>
                <w:rFonts w:eastAsia="Verdana"/>
                <w:lang w:val="hr-HR"/>
              </w:rPr>
              <w:t xml:space="preserve"> sredstva 3 ml/s, 350 mg joda u 1 ml kontrastnog sredstva, postavljen venski put </w:t>
            </w:r>
            <w:proofErr w:type="spellStart"/>
            <w:r w:rsidR="00266203" w:rsidRPr="007B2905">
              <w:rPr>
                <w:rFonts w:eastAsia="Verdana"/>
                <w:lang w:val="hr-HR"/>
              </w:rPr>
              <w:t>kanilom</w:t>
            </w:r>
            <w:proofErr w:type="spellEnd"/>
            <w:r w:rsidR="00266203" w:rsidRPr="007B2905">
              <w:rPr>
                <w:rFonts w:eastAsia="Verdana"/>
                <w:lang w:val="hr-HR"/>
              </w:rPr>
              <w:t xml:space="preserve"> od 18 G (1,2 mm) u središnjoj </w:t>
            </w:r>
            <w:proofErr w:type="spellStart"/>
            <w:r w:rsidR="00266203" w:rsidRPr="007B2905">
              <w:rPr>
                <w:rFonts w:eastAsia="Verdana"/>
                <w:lang w:val="hr-HR"/>
              </w:rPr>
              <w:t>lakatnoj</w:t>
            </w:r>
            <w:proofErr w:type="spellEnd"/>
            <w:r w:rsidR="00266203" w:rsidRPr="007B2905">
              <w:rPr>
                <w:rFonts w:eastAsia="Verdana"/>
                <w:lang w:val="hr-HR"/>
              </w:rPr>
              <w:t xml:space="preserve"> veni, jednake upute za zadržavanje daha, učvršćivanje nogu oko gležnjeva i oko koljena. Okidač za početak snimanja, postavljen 3 cm iznad </w:t>
            </w:r>
            <w:proofErr w:type="spellStart"/>
            <w:r w:rsidR="00266203" w:rsidRPr="007B2905">
              <w:rPr>
                <w:rFonts w:eastAsia="Verdana"/>
                <w:lang w:val="hr-HR"/>
              </w:rPr>
              <w:t>račvišta</w:t>
            </w:r>
            <w:proofErr w:type="spellEnd"/>
            <w:r w:rsidR="00266203" w:rsidRPr="007B2905">
              <w:rPr>
                <w:rFonts w:eastAsia="Verdana"/>
                <w:lang w:val="hr-HR"/>
              </w:rPr>
              <w:t xml:space="preserve"> aorte, započinje snimanje </w:t>
            </w:r>
            <w:r w:rsidR="00266203" w:rsidRPr="007B2905">
              <w:rPr>
                <w:rFonts w:eastAsia="Verdana"/>
                <w:lang w:val="hr-HR"/>
              </w:rPr>
              <w:lastRenderedPageBreak/>
              <w:t>kada dostigne vrijednost od 150 HU s dodatnom odgodom od detekcije do početka snimanja od 4 sekunde. Odgoda do početka snimanja za okidač biti će 13 sekundi.</w:t>
            </w:r>
          </w:p>
          <w:p w:rsidR="002B3869" w:rsidRPr="007B2905" w:rsidRDefault="00140B61">
            <w:pPr>
              <w:jc w:val="both"/>
              <w:rPr>
                <w:lang w:val="hr-HR"/>
              </w:rPr>
            </w:pPr>
            <w:r w:rsidRPr="007B2905">
              <w:rPr>
                <w:rFonts w:eastAsia="Verdana"/>
                <w:lang w:val="hr-HR"/>
              </w:rPr>
              <w:t>8.1.2. Pokusna skupina: 80</w:t>
            </w:r>
            <w:r w:rsidR="00802147" w:rsidRPr="007B2905">
              <w:rPr>
                <w:rFonts w:eastAsia="Verdana"/>
                <w:lang w:val="hr-HR"/>
              </w:rPr>
              <w:t xml:space="preserve"> </w:t>
            </w:r>
            <w:r w:rsidRPr="007B2905">
              <w:rPr>
                <w:rFonts w:eastAsia="Verdana"/>
                <w:lang w:val="hr-HR"/>
              </w:rPr>
              <w:t>kV, 200</w:t>
            </w:r>
            <w:r w:rsidR="00802147" w:rsidRPr="007B2905">
              <w:rPr>
                <w:rFonts w:eastAsia="Verdana"/>
                <w:lang w:val="hr-HR"/>
              </w:rPr>
              <w:t xml:space="preserve"> </w:t>
            </w:r>
            <w:proofErr w:type="spellStart"/>
            <w:r w:rsidRPr="007B2905">
              <w:rPr>
                <w:rFonts w:eastAsia="Verdana"/>
                <w:lang w:val="hr-HR"/>
              </w:rPr>
              <w:t>mAs</w:t>
            </w:r>
            <w:proofErr w:type="spellEnd"/>
            <w:r w:rsidRPr="007B2905">
              <w:rPr>
                <w:rFonts w:eastAsia="Verdana"/>
                <w:lang w:val="hr-HR"/>
              </w:rPr>
              <w:t>, vrijeme</w:t>
            </w:r>
            <w:r w:rsidR="004E68E2" w:rsidRPr="007B2905">
              <w:rPr>
                <w:rFonts w:eastAsia="Verdana"/>
                <w:lang w:val="hr-HR"/>
              </w:rPr>
              <w:t xml:space="preserve"> ekspozicije </w:t>
            </w:r>
            <w:r w:rsidRPr="007B2905">
              <w:rPr>
                <w:rFonts w:eastAsia="Verdana"/>
                <w:lang w:val="hr-HR"/>
              </w:rPr>
              <w:t>40 sekundi, vrijeme rotacije 0</w:t>
            </w:r>
            <w:r w:rsidR="00DE4297" w:rsidRPr="007B2905">
              <w:rPr>
                <w:rFonts w:eastAsia="Verdana"/>
                <w:lang w:val="hr-HR"/>
              </w:rPr>
              <w:t>,</w:t>
            </w:r>
            <w:r w:rsidRPr="007B2905">
              <w:rPr>
                <w:rFonts w:eastAsia="Verdana"/>
                <w:lang w:val="hr-HR"/>
              </w:rPr>
              <w:t>5</w:t>
            </w:r>
            <w:r w:rsidR="007448FD" w:rsidRPr="007B2905">
              <w:rPr>
                <w:rFonts w:eastAsia="Verdana"/>
                <w:lang w:val="hr-HR"/>
              </w:rPr>
              <w:t xml:space="preserve"> </w:t>
            </w:r>
            <w:r w:rsidRPr="007B2905">
              <w:rPr>
                <w:rFonts w:eastAsia="Verdana"/>
                <w:lang w:val="hr-HR"/>
              </w:rPr>
              <w:t xml:space="preserve">s, </w:t>
            </w:r>
            <w:proofErr w:type="spellStart"/>
            <w:r w:rsidRPr="007B2905">
              <w:rPr>
                <w:rFonts w:eastAsia="Verdana"/>
                <w:lang w:val="hr-HR"/>
              </w:rPr>
              <w:t>kolimacija</w:t>
            </w:r>
            <w:proofErr w:type="spellEnd"/>
            <w:r w:rsidRPr="007B2905">
              <w:rPr>
                <w:rFonts w:eastAsia="Verdana"/>
                <w:lang w:val="hr-HR"/>
              </w:rPr>
              <w:t xml:space="preserve"> 64 x 0</w:t>
            </w:r>
            <w:r w:rsidR="00DE4297" w:rsidRPr="007B2905">
              <w:rPr>
                <w:rFonts w:eastAsia="Verdana"/>
                <w:lang w:val="hr-HR"/>
              </w:rPr>
              <w:t>,</w:t>
            </w:r>
            <w:r w:rsidRPr="007B2905">
              <w:rPr>
                <w:rFonts w:eastAsia="Verdana"/>
                <w:lang w:val="hr-HR"/>
              </w:rPr>
              <w:t>6</w:t>
            </w:r>
            <w:r w:rsidR="00702FE5" w:rsidRPr="007B2905">
              <w:rPr>
                <w:rFonts w:eastAsia="Verdana"/>
                <w:lang w:val="hr-HR"/>
              </w:rPr>
              <w:t xml:space="preserve"> </w:t>
            </w:r>
            <w:r w:rsidRPr="007B2905">
              <w:rPr>
                <w:rFonts w:eastAsia="Verdana"/>
                <w:lang w:val="hr-HR"/>
              </w:rPr>
              <w:t xml:space="preserve">mm, volumen </w:t>
            </w:r>
            <w:proofErr w:type="spellStart"/>
            <w:r w:rsidRPr="007B2905">
              <w:rPr>
                <w:rFonts w:eastAsia="Verdana"/>
                <w:lang w:val="hr-HR"/>
              </w:rPr>
              <w:t>konstrastnog</w:t>
            </w:r>
            <w:proofErr w:type="spellEnd"/>
            <w:r w:rsidRPr="007B2905">
              <w:rPr>
                <w:rFonts w:eastAsia="Verdana"/>
                <w:lang w:val="hr-HR"/>
              </w:rPr>
              <w:t xml:space="preserve"> sredstva: 100</w:t>
            </w:r>
            <w:r w:rsidR="00471490" w:rsidRPr="007B2905">
              <w:rPr>
                <w:rFonts w:eastAsia="Verdana"/>
                <w:lang w:val="hr-HR"/>
              </w:rPr>
              <w:t xml:space="preserve"> </w:t>
            </w:r>
            <w:r w:rsidRPr="007B2905">
              <w:rPr>
                <w:rFonts w:eastAsia="Verdana"/>
                <w:lang w:val="hr-HR"/>
              </w:rPr>
              <w:t>m</w:t>
            </w:r>
            <w:r w:rsidR="00F32BFD">
              <w:rPr>
                <w:rFonts w:eastAsia="Verdana"/>
                <w:lang w:val="hr-HR"/>
              </w:rPr>
              <w:t>L</w:t>
            </w:r>
            <w:r w:rsidRPr="007B2905">
              <w:rPr>
                <w:rFonts w:eastAsia="Verdana"/>
                <w:lang w:val="hr-HR"/>
              </w:rPr>
              <w:t xml:space="preserve">, protok </w:t>
            </w:r>
            <w:proofErr w:type="spellStart"/>
            <w:r w:rsidRPr="007B2905">
              <w:rPr>
                <w:rFonts w:eastAsia="Verdana"/>
                <w:lang w:val="hr-HR"/>
              </w:rPr>
              <w:t>konstrastnog</w:t>
            </w:r>
            <w:proofErr w:type="spellEnd"/>
            <w:r w:rsidRPr="007B2905">
              <w:rPr>
                <w:rFonts w:eastAsia="Verdana"/>
                <w:lang w:val="hr-HR"/>
              </w:rPr>
              <w:t xml:space="preserve"> sredstva 3</w:t>
            </w:r>
            <w:r w:rsidR="00471490" w:rsidRPr="007B2905">
              <w:rPr>
                <w:rFonts w:eastAsia="Verdana"/>
                <w:lang w:val="hr-HR"/>
              </w:rPr>
              <w:t xml:space="preserve"> </w:t>
            </w:r>
            <w:r w:rsidRPr="007B2905">
              <w:rPr>
                <w:rFonts w:eastAsia="Verdana"/>
                <w:lang w:val="hr-HR"/>
              </w:rPr>
              <w:t>m</w:t>
            </w:r>
            <w:r w:rsidR="00F32BFD">
              <w:rPr>
                <w:rFonts w:eastAsia="Verdana"/>
                <w:lang w:val="hr-HR"/>
              </w:rPr>
              <w:t>L</w:t>
            </w:r>
            <w:r w:rsidRPr="007B2905">
              <w:rPr>
                <w:rFonts w:eastAsia="Verdana"/>
                <w:lang w:val="hr-HR"/>
              </w:rPr>
              <w:t>/</w:t>
            </w:r>
            <w:r w:rsidR="004E68E2" w:rsidRPr="007B2905">
              <w:rPr>
                <w:rFonts w:eastAsia="Verdana"/>
                <w:lang w:val="hr-HR"/>
              </w:rPr>
              <w:t>s</w:t>
            </w:r>
            <w:r w:rsidRPr="007B2905">
              <w:rPr>
                <w:rFonts w:eastAsia="Verdana"/>
                <w:lang w:val="hr-HR"/>
              </w:rPr>
              <w:t>, 350</w:t>
            </w:r>
            <w:r w:rsidR="0056584A" w:rsidRPr="007B2905">
              <w:rPr>
                <w:rFonts w:eastAsia="Verdana"/>
                <w:lang w:val="hr-HR"/>
              </w:rPr>
              <w:t xml:space="preserve"> </w:t>
            </w:r>
            <w:r w:rsidR="00F32BFD">
              <w:rPr>
                <w:rFonts w:eastAsia="Verdana"/>
                <w:lang w:val="hr-HR"/>
              </w:rPr>
              <w:t>mg joda u 1 mL</w:t>
            </w:r>
            <w:r w:rsidRPr="007B2905">
              <w:rPr>
                <w:rFonts w:eastAsia="Verdana"/>
                <w:lang w:val="hr-HR"/>
              </w:rPr>
              <w:t xml:space="preserve"> kontrastnog sredstva, postavljen venski put </w:t>
            </w:r>
            <w:proofErr w:type="spellStart"/>
            <w:r w:rsidRPr="007B2905">
              <w:rPr>
                <w:rFonts w:eastAsia="Verdana"/>
                <w:lang w:val="hr-HR"/>
              </w:rPr>
              <w:t>kanilom</w:t>
            </w:r>
            <w:proofErr w:type="spellEnd"/>
            <w:r w:rsidRPr="007B2905">
              <w:rPr>
                <w:rFonts w:eastAsia="Verdana"/>
                <w:lang w:val="hr-HR"/>
              </w:rPr>
              <w:t xml:space="preserve"> od 18</w:t>
            </w:r>
            <w:r w:rsidR="0056584A" w:rsidRPr="007B2905">
              <w:rPr>
                <w:rFonts w:eastAsia="Verdana"/>
                <w:lang w:val="hr-HR"/>
              </w:rPr>
              <w:t xml:space="preserve"> </w:t>
            </w:r>
            <w:r w:rsidRPr="007B2905">
              <w:rPr>
                <w:rFonts w:eastAsia="Verdana"/>
                <w:lang w:val="hr-HR"/>
              </w:rPr>
              <w:t>G (1</w:t>
            </w:r>
            <w:r w:rsidR="0056584A" w:rsidRPr="007B2905">
              <w:rPr>
                <w:rFonts w:eastAsia="Verdana"/>
                <w:lang w:val="hr-HR"/>
              </w:rPr>
              <w:t>,</w:t>
            </w:r>
            <w:r w:rsidRPr="007B2905">
              <w:rPr>
                <w:rFonts w:eastAsia="Verdana"/>
                <w:lang w:val="hr-HR"/>
              </w:rPr>
              <w:t>2</w:t>
            </w:r>
            <w:r w:rsidR="0056584A" w:rsidRPr="007B2905">
              <w:rPr>
                <w:rFonts w:eastAsia="Verdana"/>
                <w:lang w:val="hr-HR"/>
              </w:rPr>
              <w:t xml:space="preserve"> </w:t>
            </w:r>
            <w:r w:rsidRPr="007B2905">
              <w:rPr>
                <w:rFonts w:eastAsia="Verdana"/>
                <w:lang w:val="hr-HR"/>
              </w:rPr>
              <w:t xml:space="preserve">mm) u središnjoj </w:t>
            </w:r>
            <w:proofErr w:type="spellStart"/>
            <w:r w:rsidRPr="007B2905">
              <w:rPr>
                <w:rFonts w:eastAsia="Verdana"/>
                <w:lang w:val="hr-HR"/>
              </w:rPr>
              <w:t>lakatnoj</w:t>
            </w:r>
            <w:proofErr w:type="spellEnd"/>
            <w:r w:rsidRPr="007B2905">
              <w:rPr>
                <w:rFonts w:eastAsia="Verdana"/>
                <w:lang w:val="hr-HR"/>
              </w:rPr>
              <w:t xml:space="preserve"> veni, jednake upute za zadržavanje daha,</w:t>
            </w:r>
            <w:r w:rsidR="004E68E2" w:rsidRPr="007B2905">
              <w:rPr>
                <w:rFonts w:eastAsia="Verdana"/>
                <w:lang w:val="hr-HR"/>
              </w:rPr>
              <w:t xml:space="preserve"> učvršćivanje </w:t>
            </w:r>
            <w:r w:rsidRPr="007B2905">
              <w:rPr>
                <w:rFonts w:eastAsia="Verdana"/>
                <w:lang w:val="hr-HR"/>
              </w:rPr>
              <w:t xml:space="preserve">nogu oko gležnjeva i oko koljena. Okidač za </w:t>
            </w:r>
            <w:r w:rsidR="004E68E2" w:rsidRPr="007B2905">
              <w:rPr>
                <w:rFonts w:eastAsia="Verdana"/>
                <w:lang w:val="hr-HR"/>
              </w:rPr>
              <w:t xml:space="preserve">početak snimanja, </w:t>
            </w:r>
            <w:r w:rsidRPr="007B2905">
              <w:rPr>
                <w:rFonts w:eastAsia="Verdana"/>
                <w:lang w:val="hr-HR"/>
              </w:rPr>
              <w:t>postavljen 3</w:t>
            </w:r>
            <w:r w:rsidR="00AE66C4" w:rsidRPr="007B2905">
              <w:rPr>
                <w:rFonts w:eastAsia="Verdana"/>
                <w:lang w:val="hr-HR"/>
              </w:rPr>
              <w:t xml:space="preserve"> </w:t>
            </w:r>
            <w:r w:rsidRPr="007B2905">
              <w:rPr>
                <w:rFonts w:eastAsia="Verdana"/>
                <w:lang w:val="hr-HR"/>
              </w:rPr>
              <w:t xml:space="preserve">cm iznad </w:t>
            </w:r>
            <w:proofErr w:type="spellStart"/>
            <w:r w:rsidRPr="007B2905">
              <w:rPr>
                <w:rFonts w:eastAsia="Verdana"/>
                <w:lang w:val="hr-HR"/>
              </w:rPr>
              <w:t>račvišta</w:t>
            </w:r>
            <w:proofErr w:type="spellEnd"/>
            <w:r w:rsidRPr="007B2905">
              <w:rPr>
                <w:rFonts w:eastAsia="Verdana"/>
                <w:lang w:val="hr-HR"/>
              </w:rPr>
              <w:t xml:space="preserve"> aorte, </w:t>
            </w:r>
            <w:r w:rsidR="00AE66C4" w:rsidRPr="007B2905">
              <w:rPr>
                <w:rFonts w:eastAsia="Verdana"/>
                <w:lang w:val="hr-HR"/>
              </w:rPr>
              <w:t>započinje snimanje</w:t>
            </w:r>
            <w:r w:rsidRPr="007B2905">
              <w:rPr>
                <w:rFonts w:eastAsia="Verdana"/>
                <w:lang w:val="hr-HR"/>
              </w:rPr>
              <w:t xml:space="preserve"> kada dostigne vrijednost od 150</w:t>
            </w:r>
            <w:r w:rsidR="00A96746" w:rsidRPr="007B2905">
              <w:rPr>
                <w:rFonts w:eastAsia="Verdana"/>
                <w:lang w:val="hr-HR"/>
              </w:rPr>
              <w:t xml:space="preserve"> </w:t>
            </w:r>
            <w:r w:rsidRPr="007B2905">
              <w:rPr>
                <w:rFonts w:eastAsia="Verdana"/>
                <w:lang w:val="hr-HR"/>
              </w:rPr>
              <w:t xml:space="preserve">HU s dodatnom odgodom </w:t>
            </w:r>
            <w:r w:rsidR="00266203" w:rsidRPr="007B2905">
              <w:rPr>
                <w:rFonts w:eastAsia="Verdana"/>
                <w:lang w:val="hr-HR"/>
              </w:rPr>
              <w:t xml:space="preserve">od detekcije </w:t>
            </w:r>
            <w:r w:rsidRPr="007B2905">
              <w:rPr>
                <w:rFonts w:eastAsia="Verdana"/>
                <w:lang w:val="hr-HR"/>
              </w:rPr>
              <w:t xml:space="preserve">do početka snimanja od 4 sekunde. Odgoda do početka snimanja za okidač </w:t>
            </w:r>
            <w:r w:rsidR="00266203" w:rsidRPr="007B2905">
              <w:rPr>
                <w:rFonts w:eastAsia="Verdana"/>
                <w:lang w:val="hr-HR"/>
              </w:rPr>
              <w:t xml:space="preserve">biti će </w:t>
            </w:r>
            <w:r w:rsidRPr="007B2905">
              <w:rPr>
                <w:rFonts w:eastAsia="Verdana"/>
                <w:lang w:val="hr-HR"/>
              </w:rPr>
              <w:t>13 sekundi.</w:t>
            </w:r>
          </w:p>
          <w:p w:rsidR="002B3869" w:rsidRPr="007B2905" w:rsidRDefault="00140B61">
            <w:pPr>
              <w:jc w:val="both"/>
              <w:rPr>
                <w:lang w:val="hr-HR"/>
              </w:rPr>
            </w:pPr>
            <w:r w:rsidRPr="007B2905">
              <w:rPr>
                <w:rFonts w:eastAsia="Verdana"/>
                <w:lang w:val="hr-HR"/>
              </w:rPr>
              <w:t>8.2.</w:t>
            </w:r>
            <w:r w:rsidR="00AE245F" w:rsidRPr="007B2905">
              <w:rPr>
                <w:rFonts w:eastAsia="Verdana"/>
                <w:lang w:val="hr-HR"/>
              </w:rPr>
              <w:t xml:space="preserve"> Prije evaluacije</w:t>
            </w:r>
            <w:r w:rsidR="001E313F" w:rsidRPr="007B2905">
              <w:rPr>
                <w:rFonts w:eastAsia="Verdana"/>
                <w:lang w:val="hr-HR"/>
              </w:rPr>
              <w:t xml:space="preserve"> specijalista radiologije, slikovni zapisi bit će </w:t>
            </w:r>
            <w:proofErr w:type="spellStart"/>
            <w:r w:rsidR="001E313F" w:rsidRPr="007B2905">
              <w:rPr>
                <w:rFonts w:eastAsia="Verdana"/>
                <w:lang w:val="hr-HR"/>
              </w:rPr>
              <w:t>anonimizirani</w:t>
            </w:r>
            <w:proofErr w:type="spellEnd"/>
            <w:r w:rsidR="001E313F" w:rsidRPr="007B2905">
              <w:rPr>
                <w:rFonts w:eastAsia="Verdana"/>
                <w:lang w:val="hr-HR"/>
              </w:rPr>
              <w:t xml:space="preserve"> i postavljeni u jednake parametre prikaza</w:t>
            </w:r>
            <w:r w:rsidRPr="007B2905">
              <w:rPr>
                <w:rFonts w:eastAsia="Verdana"/>
                <w:lang w:val="hr-HR"/>
              </w:rPr>
              <w:t xml:space="preserve">: </w:t>
            </w:r>
          </w:p>
          <w:p w:rsidR="002748C3" w:rsidRPr="007B2905" w:rsidRDefault="00140B61">
            <w:pPr>
              <w:jc w:val="both"/>
              <w:rPr>
                <w:rFonts w:eastAsia="Verdana"/>
                <w:lang w:val="hr-HR"/>
              </w:rPr>
            </w:pPr>
            <w:r w:rsidRPr="007B2905">
              <w:rPr>
                <w:rFonts w:eastAsia="Verdana"/>
                <w:lang w:val="hr-HR"/>
              </w:rPr>
              <w:t xml:space="preserve">8.2.1. Za </w:t>
            </w:r>
            <w:r w:rsidR="00E9640E" w:rsidRPr="007B2905">
              <w:rPr>
                <w:rFonts w:eastAsia="Verdana"/>
                <w:lang w:val="hr-HR"/>
              </w:rPr>
              <w:t>otkrivanje</w:t>
            </w:r>
            <w:r w:rsidRPr="007B2905">
              <w:rPr>
                <w:rFonts w:eastAsia="Verdana"/>
                <w:lang w:val="hr-HR"/>
              </w:rPr>
              <w:t xml:space="preserve"> eventualnog neželjenog pomaka pacijenta: aksijalni slojevi, debljina sloja 1</w:t>
            </w:r>
            <w:r w:rsidR="007B3967" w:rsidRPr="007B2905">
              <w:rPr>
                <w:rFonts w:eastAsia="Verdana"/>
                <w:lang w:val="hr-HR"/>
              </w:rPr>
              <w:t xml:space="preserve"> </w:t>
            </w:r>
            <w:r w:rsidRPr="007B2905">
              <w:rPr>
                <w:rFonts w:eastAsia="Verdana"/>
                <w:lang w:val="hr-HR"/>
              </w:rPr>
              <w:t xml:space="preserve">mm, </w:t>
            </w:r>
            <w:proofErr w:type="spellStart"/>
            <w:r w:rsidRPr="007B2905">
              <w:rPr>
                <w:rFonts w:eastAsia="Verdana"/>
                <w:lang w:val="hr-HR"/>
              </w:rPr>
              <w:t>filt</w:t>
            </w:r>
            <w:r w:rsidR="00326E35" w:rsidRPr="007B2905">
              <w:rPr>
                <w:rFonts w:eastAsia="Verdana"/>
                <w:lang w:val="hr-HR"/>
              </w:rPr>
              <w:t>e</w:t>
            </w:r>
            <w:r w:rsidRPr="007B2905">
              <w:rPr>
                <w:rFonts w:eastAsia="Verdana"/>
                <w:lang w:val="hr-HR"/>
              </w:rPr>
              <w:t>r</w:t>
            </w:r>
            <w:proofErr w:type="spellEnd"/>
            <w:r w:rsidRPr="007B2905">
              <w:rPr>
                <w:rFonts w:eastAsia="Verdana"/>
                <w:lang w:val="hr-HR"/>
              </w:rPr>
              <w:t xml:space="preserve"> B31f, WW/WC 400/40. Radiolog može promijeniti postavke prikaza.</w:t>
            </w:r>
          </w:p>
          <w:p w:rsidR="002B3869" w:rsidRPr="007B2905" w:rsidRDefault="00140B61">
            <w:pPr>
              <w:jc w:val="both"/>
              <w:rPr>
                <w:lang w:val="hr-HR"/>
              </w:rPr>
            </w:pPr>
            <w:r w:rsidRPr="007B2905">
              <w:rPr>
                <w:rFonts w:eastAsia="Verdana"/>
                <w:lang w:val="hr-HR"/>
              </w:rPr>
              <w:t>8.2.2. Za evaluaciju kvalitete snimke: aksijalni slojevi, debljina sloja 1</w:t>
            </w:r>
            <w:r w:rsidR="007B3967" w:rsidRPr="007B2905">
              <w:rPr>
                <w:rFonts w:eastAsia="Verdana"/>
                <w:lang w:val="hr-HR"/>
              </w:rPr>
              <w:t xml:space="preserve"> </w:t>
            </w:r>
            <w:r w:rsidRPr="007B2905">
              <w:rPr>
                <w:rFonts w:eastAsia="Verdana"/>
                <w:lang w:val="hr-HR"/>
              </w:rPr>
              <w:t>mm, filtar B25f, WW/WC 600/80. Radiolog može promijeniti postavke prikaza.</w:t>
            </w:r>
          </w:p>
        </w:tc>
      </w:tr>
      <w:tr w:rsidR="002B3869" w:rsidRPr="007B2905">
        <w:trPr>
          <w:trHeight w:val="420"/>
        </w:trPr>
        <w:tc>
          <w:tcPr>
            <w:tcW w:w="9781" w:type="dxa"/>
            <w:gridSpan w:val="3"/>
            <w:vAlign w:val="center"/>
          </w:tcPr>
          <w:p w:rsidR="002B3869" w:rsidRPr="007B2905" w:rsidRDefault="00140B61">
            <w:pPr>
              <w:rPr>
                <w:rFonts w:eastAsia="Verdana"/>
                <w:b/>
                <w:lang w:val="hr-HR"/>
              </w:rPr>
            </w:pPr>
            <w:r w:rsidRPr="007B2905">
              <w:rPr>
                <w:rFonts w:eastAsia="Verdana"/>
                <w:b/>
                <w:lang w:val="hr-HR"/>
              </w:rPr>
              <w:lastRenderedPageBreak/>
              <w:t>9. Glavna mjera ishoda:</w:t>
            </w:r>
          </w:p>
          <w:p w:rsidR="007F13E6" w:rsidRPr="007B2905" w:rsidRDefault="007F13E6" w:rsidP="007F13E6">
            <w:pPr>
              <w:jc w:val="both"/>
              <w:rPr>
                <w:lang w:val="hr-HR"/>
              </w:rPr>
            </w:pPr>
            <w:r w:rsidRPr="007B2905">
              <w:rPr>
                <w:rFonts w:eastAsia="Verdana"/>
                <w:lang w:val="hr-HR"/>
              </w:rPr>
              <w:t>9.1. Ukupna isporučena doza (</w:t>
            </w:r>
            <w:proofErr w:type="spellStart"/>
            <w:r w:rsidRPr="007B2905">
              <w:rPr>
                <w:rFonts w:eastAsia="Verdana"/>
                <w:lang w:val="hr-HR"/>
              </w:rPr>
              <w:t>mGy</w:t>
            </w:r>
            <w:proofErr w:type="spellEnd"/>
            <w:r w:rsidRPr="007B2905">
              <w:rPr>
                <w:rFonts w:eastAsia="Verdana"/>
                <w:lang w:val="hr-HR"/>
              </w:rPr>
              <w:t xml:space="preserve">). </w:t>
            </w:r>
            <w:r w:rsidR="00A67003" w:rsidRPr="007B2905">
              <w:rPr>
                <w:rFonts w:eastAsia="Verdana"/>
                <w:lang w:val="hr-HR"/>
              </w:rPr>
              <w:t>Izračunat</w:t>
            </w:r>
            <w:r w:rsidRPr="007B2905">
              <w:rPr>
                <w:rFonts w:eastAsia="Verdana"/>
                <w:lang w:val="hr-HR"/>
              </w:rPr>
              <w:t xml:space="preserve"> će se aritmetička sredina</w:t>
            </w:r>
            <w:r w:rsidR="00A67003" w:rsidRPr="007B2905">
              <w:rPr>
                <w:rFonts w:eastAsia="Verdana"/>
                <w:lang w:val="hr-HR"/>
              </w:rPr>
              <w:t xml:space="preserve"> isporučene doze</w:t>
            </w:r>
            <w:r w:rsidRPr="007B2905">
              <w:rPr>
                <w:rFonts w:eastAsia="Verdana"/>
                <w:lang w:val="hr-HR"/>
              </w:rPr>
              <w:t xml:space="preserve"> </w:t>
            </w:r>
            <w:r w:rsidR="00A67003" w:rsidRPr="007B2905">
              <w:rPr>
                <w:rFonts w:eastAsia="Verdana"/>
                <w:lang w:val="hr-HR"/>
              </w:rPr>
              <w:t>te</w:t>
            </w:r>
            <w:r w:rsidRPr="007B2905">
              <w:rPr>
                <w:rFonts w:eastAsia="Verdana"/>
                <w:lang w:val="hr-HR"/>
              </w:rPr>
              <w:t xml:space="preserve"> standardna devijacija za obje skupine.</w:t>
            </w:r>
          </w:p>
          <w:p w:rsidR="00A67003" w:rsidRPr="007B2905" w:rsidRDefault="00A67003">
            <w:pPr>
              <w:jc w:val="both"/>
              <w:rPr>
                <w:rFonts w:eastAsia="Verdana"/>
                <w:lang w:val="hr-HR"/>
              </w:rPr>
            </w:pPr>
            <w:r w:rsidRPr="007B2905">
              <w:rPr>
                <w:rFonts w:eastAsia="Verdana"/>
                <w:lang w:val="hr-HR"/>
              </w:rPr>
              <w:t>9.2. Ocjene kvalitete slikovnog prikaza, i to:</w:t>
            </w:r>
          </w:p>
          <w:p w:rsidR="00A67003" w:rsidRPr="007B2905" w:rsidRDefault="00A67003">
            <w:pPr>
              <w:jc w:val="both"/>
              <w:rPr>
                <w:rFonts w:eastAsia="Verdana"/>
                <w:lang w:val="hr-HR"/>
              </w:rPr>
            </w:pPr>
            <w:r w:rsidRPr="007B2905">
              <w:rPr>
                <w:rFonts w:eastAsia="Verdana"/>
                <w:lang w:val="hr-HR"/>
              </w:rPr>
              <w:t>9.2.1. Kvantitativne ocjene:</w:t>
            </w:r>
          </w:p>
          <w:p w:rsidR="00A67003" w:rsidRPr="007B2905" w:rsidRDefault="00A67003">
            <w:pPr>
              <w:jc w:val="both"/>
              <w:rPr>
                <w:rFonts w:eastAsia="Verdana"/>
                <w:lang w:val="hr-HR"/>
              </w:rPr>
            </w:pPr>
            <w:r w:rsidRPr="007B2905">
              <w:rPr>
                <w:rFonts w:eastAsia="Verdana"/>
                <w:lang w:val="hr-HR"/>
              </w:rPr>
              <w:t>9.2.1.1.  Intenzitet signala (SI) na tri standardizirana interesna područja (HU). Izračunat će se aritmetička sredina intenziteta signala te standardna devijacija za obje skupine.</w:t>
            </w:r>
          </w:p>
          <w:p w:rsidR="00A67003" w:rsidRPr="007B2905" w:rsidRDefault="00A67003">
            <w:pPr>
              <w:jc w:val="both"/>
              <w:rPr>
                <w:rFonts w:eastAsia="Verdana"/>
                <w:color w:val="000000" w:themeColor="text1"/>
                <w:shd w:val="clear" w:color="auto" w:fill="FFFFFF"/>
              </w:rPr>
            </w:pPr>
            <w:r w:rsidRPr="007B2905">
              <w:rPr>
                <w:rFonts w:eastAsia="Verdana"/>
                <w:lang w:val="hr-HR"/>
              </w:rPr>
              <w:t xml:space="preserve">9.2.1.2. Odnos signal – šum (SNR) na tri standardizirana interesna područja (dB). SNR dobijemo ako podijelimo intenzitet signala (SI) s pozadinskim šumom (SD), a kako bi odnos izrazili u decibelima, koristimo slijedeći izraz: </w:t>
            </w:r>
            <m:oMath>
              <m:r>
                <w:rPr>
                  <w:rFonts w:ascii="Cambria Math" w:hAnsi="Cambria Math"/>
                  <w:color w:val="000000" w:themeColor="text1"/>
                  <w:shd w:val="clear" w:color="auto" w:fill="FFFFFF"/>
                </w:rPr>
                <m:t>SNR</m:t>
              </m:r>
              <m:r>
                <w:rPr>
                  <w:rFonts w:ascii="Cambria Math"/>
                  <w:color w:val="000000" w:themeColor="text1"/>
                  <w:shd w:val="clear" w:color="auto" w:fill="FFFFFF"/>
                </w:rPr>
                <m:t xml:space="preserve">=10 </m:t>
              </m:r>
              <m:r>
                <w:rPr>
                  <w:rFonts w:ascii="Cambria Math" w:hAnsi="Cambria Math"/>
                  <w:color w:val="000000" w:themeColor="text1"/>
                  <w:shd w:val="clear" w:color="auto" w:fill="FFFFFF"/>
                </w:rPr>
                <m:t>x</m:t>
              </m:r>
              <m:r>
                <w:rPr>
                  <w:rFonts w:ascii="Cambria Math"/>
                  <w:color w:val="000000" w:themeColor="text1"/>
                  <w:shd w:val="clear" w:color="auto" w:fill="FFFFFF"/>
                </w:rPr>
                <m:t xml:space="preserve"> </m:t>
              </m:r>
              <m:func>
                <m:funcPr>
                  <m:ctrlPr>
                    <w:rPr>
                      <w:rFonts w:ascii="Cambria Math"/>
                      <w:i/>
                      <w:color w:val="000000" w:themeColor="text1"/>
                      <w:shd w:val="clear" w:color="auto" w:fill="FFFFFF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/>
                          <w:color w:val="000000" w:themeColor="text1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hd w:val="clear" w:color="auto" w:fill="FFFFFF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color w:val="000000" w:themeColor="text1"/>
                          <w:shd w:val="clear" w:color="auto" w:fill="FFFFFF"/>
                        </w:rPr>
                        <m:t xml:space="preserve">10 </m:t>
                      </m:r>
                    </m:sub>
                  </m:sSub>
                  <m:ctrlPr>
                    <w:rPr>
                      <w:rFonts w:ascii="Cambria Math"/>
                      <w:color w:val="000000" w:themeColor="text1"/>
                      <w:shd w:val="clear" w:color="auto" w:fill="FFFFFF"/>
                    </w:rPr>
                  </m:ctrlPr>
                </m:fName>
                <m:e>
                  <m:f>
                    <m:fPr>
                      <m:ctrlPr>
                        <w:rPr>
                          <w:rFonts w:ascii="Cambria Math"/>
                          <w:i/>
                          <w:color w:val="000000" w:themeColor="text1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hd w:val="clear" w:color="auto" w:fill="FFFFFF"/>
                        </w:rPr>
                        <m:t>SI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hd w:val="clear" w:color="auto" w:fill="FFFFFF"/>
                        </w:rPr>
                        <m:t>SD</m:t>
                      </m:r>
                    </m:den>
                  </m:f>
                </m:e>
              </m:func>
            </m:oMath>
            <w:r w:rsidRPr="007B2905">
              <w:rPr>
                <w:rFonts w:eastAsia="Verdana"/>
                <w:color w:val="000000" w:themeColor="text1"/>
                <w:shd w:val="clear" w:color="auto" w:fill="FFFFFF"/>
              </w:rPr>
              <w:t xml:space="preserve"> . </w:t>
            </w:r>
            <w:r w:rsidRPr="007B2905">
              <w:rPr>
                <w:rFonts w:eastAsia="Verdana"/>
                <w:lang w:val="hr-HR"/>
              </w:rPr>
              <w:t>Izračunat će se aritmetička sredina odnosa signal-šum te standardna devijacija za obje skupine.</w:t>
            </w:r>
          </w:p>
          <w:p w:rsidR="00A67003" w:rsidRPr="007B2905" w:rsidRDefault="00A67003">
            <w:pPr>
              <w:jc w:val="both"/>
              <w:rPr>
                <w:rFonts w:eastAsia="Verdana"/>
                <w:color w:val="000000" w:themeColor="text1"/>
                <w:shd w:val="clear" w:color="auto" w:fill="FFFFFF"/>
              </w:rPr>
            </w:pPr>
            <w:r w:rsidRPr="007B2905">
              <w:rPr>
                <w:rFonts w:eastAsia="Verdana"/>
                <w:color w:val="000000" w:themeColor="text1"/>
                <w:shd w:val="clear" w:color="auto" w:fill="FFFFFF"/>
              </w:rPr>
              <w:t xml:space="preserve">9.2.1.3. </w:t>
            </w:r>
            <w:r w:rsidRPr="007B2905">
              <w:rPr>
                <w:rFonts w:eastAsia="Verdana"/>
                <w:lang w:val="hr-HR"/>
              </w:rPr>
              <w:t>Odnos kontrast – šum (CNR) na tri standardizirana interesna područja (dB). CNR dobijemo ako razliku intenziteta signala u krvnoj žili (</w:t>
            </w:r>
            <w:proofErr w:type="spellStart"/>
            <w:r w:rsidRPr="007B2905">
              <w:rPr>
                <w:rFonts w:eastAsia="Verdana"/>
                <w:lang w:val="hr-HR"/>
              </w:rPr>
              <w:t>SI</w:t>
            </w:r>
            <w:r w:rsidRPr="007B2905">
              <w:rPr>
                <w:rFonts w:eastAsia="Verdana"/>
                <w:vertAlign w:val="subscript"/>
                <w:lang w:val="hr-HR"/>
              </w:rPr>
              <w:t>k</w:t>
            </w:r>
            <w:proofErr w:type="spellEnd"/>
            <w:r w:rsidRPr="007B2905">
              <w:rPr>
                <w:rFonts w:eastAsia="Verdana"/>
                <w:lang w:val="hr-HR"/>
              </w:rPr>
              <w:t>) i intenziteta signala u okolnom tkivu podijelimo (</w:t>
            </w:r>
            <w:proofErr w:type="spellStart"/>
            <w:r w:rsidRPr="007B2905">
              <w:rPr>
                <w:rFonts w:eastAsia="Verdana"/>
                <w:lang w:val="hr-HR"/>
              </w:rPr>
              <w:t>SI</w:t>
            </w:r>
            <w:r w:rsidRPr="007B2905">
              <w:rPr>
                <w:rFonts w:eastAsia="Verdana"/>
                <w:vertAlign w:val="subscript"/>
                <w:lang w:val="hr-HR"/>
              </w:rPr>
              <w:t>o</w:t>
            </w:r>
            <w:proofErr w:type="spellEnd"/>
            <w:r w:rsidRPr="007B2905">
              <w:rPr>
                <w:rFonts w:eastAsia="Verdana"/>
                <w:lang w:val="hr-HR"/>
              </w:rPr>
              <w:t xml:space="preserve">) s pozadinskim šumom (SD), a kako bi odnos izrazili u decibelima, koristimo slijedeći izraz: </w:t>
            </w:r>
            <m:oMath>
              <m:r>
                <w:rPr>
                  <w:rFonts w:ascii="Cambria Math" w:hAnsi="Cambria Math"/>
                  <w:color w:val="000000" w:themeColor="text1"/>
                  <w:shd w:val="clear" w:color="auto" w:fill="FFFFFF"/>
                </w:rPr>
                <m:t>CNR</m:t>
              </m:r>
              <m:r>
                <w:rPr>
                  <w:rFonts w:ascii="Cambria Math"/>
                  <w:color w:val="000000" w:themeColor="text1"/>
                  <w:shd w:val="clear" w:color="auto" w:fill="FFFFFF"/>
                </w:rPr>
                <m:t xml:space="preserve">=10 </m:t>
              </m:r>
              <m:r>
                <w:rPr>
                  <w:rFonts w:ascii="Cambria Math" w:hAnsi="Cambria Math"/>
                  <w:color w:val="000000" w:themeColor="text1"/>
                  <w:shd w:val="clear" w:color="auto" w:fill="FFFFFF"/>
                </w:rPr>
                <m:t>x</m:t>
              </m:r>
              <m:r>
                <w:rPr>
                  <w:rFonts w:ascii="Cambria Math"/>
                  <w:color w:val="000000" w:themeColor="text1"/>
                  <w:shd w:val="clear" w:color="auto" w:fill="FFFFFF"/>
                </w:rPr>
                <m:t xml:space="preserve"> </m:t>
              </m:r>
              <m:func>
                <m:funcPr>
                  <m:ctrlPr>
                    <w:rPr>
                      <w:rFonts w:ascii="Cambria Math"/>
                      <w:i/>
                      <w:color w:val="000000" w:themeColor="text1"/>
                      <w:shd w:val="clear" w:color="auto" w:fill="FFFFFF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/>
                          <w:color w:val="000000" w:themeColor="text1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hd w:val="clear" w:color="auto" w:fill="FFFFFF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color w:val="000000" w:themeColor="text1"/>
                          <w:shd w:val="clear" w:color="auto" w:fill="FFFFFF"/>
                        </w:rPr>
                        <m:t>10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/>
                          <w:i/>
                          <w:color w:val="000000" w:themeColor="text1"/>
                          <w:shd w:val="clear" w:color="auto" w:fill="FFFFFF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/>
                              <w:i/>
                              <w:color w:val="000000" w:themeColor="text1"/>
                              <w:shd w:val="clear" w:color="auto" w:fill="FFFFFF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Verdana"/>
                                  <w:lang w:val="hr-H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Verdana" w:hAnsi="Cambria Math"/>
                                  <w:lang w:val="hr-HR"/>
                                </w:rPr>
                                <m:t>SI</m:t>
                              </m:r>
                            </m:e>
                            <m:sub>
                              <m:r>
                                <w:rPr>
                                  <w:rFonts w:ascii="Cambria Math" w:eastAsia="Verdana" w:hAnsi="Cambria Math"/>
                                  <w:lang w:val="hr-HR"/>
                                </w:rPr>
                                <m:t>k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eastAsia="Verdana"/>
                              <w:vertAlign w:val="subscript"/>
                              <w:lang w:val="hr-HR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Verdana"/>
                                  <w:vertAlign w:val="subscript"/>
                                  <w:lang w:val="hr-H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Verdana" w:hAnsi="Cambria Math"/>
                                  <w:vertAlign w:val="subscript"/>
                                  <w:lang w:val="hr-HR"/>
                                </w:rPr>
                                <m:t>SI</m:t>
                              </m:r>
                            </m:e>
                            <m:sub>
                              <m:r>
                                <w:rPr>
                                  <w:rFonts w:ascii="Cambria Math" w:eastAsia="Verdana" w:hAnsi="Cambria Math"/>
                                  <w:vertAlign w:val="subscript"/>
                                  <w:lang w:val="hr-HR"/>
                                </w:rPr>
                                <m:t>o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  <w:shd w:val="clear" w:color="auto" w:fill="FFFFFF"/>
                            </w:rPr>
                            <m:t>SD</m:t>
                          </m:r>
                        </m:den>
                      </m:f>
                    </m:e>
                  </m:d>
                </m:e>
              </m:func>
            </m:oMath>
            <w:r w:rsidRPr="007B2905">
              <w:rPr>
                <w:rFonts w:eastAsia="Verdana"/>
                <w:color w:val="000000" w:themeColor="text1"/>
                <w:shd w:val="clear" w:color="auto" w:fill="FFFFFF"/>
              </w:rPr>
              <w:t xml:space="preserve">. </w:t>
            </w:r>
            <w:r w:rsidRPr="007B2905">
              <w:rPr>
                <w:rFonts w:eastAsia="Verdana"/>
                <w:lang w:val="hr-HR"/>
              </w:rPr>
              <w:t>Izračunat će se aritmetička sredina odnosa kontrast-šum i standardna devijacija za obje skupine.</w:t>
            </w:r>
          </w:p>
          <w:p w:rsidR="00A67003" w:rsidRPr="007B2905" w:rsidRDefault="00A67003" w:rsidP="00F32BFD">
            <w:pPr>
              <w:jc w:val="both"/>
              <w:rPr>
                <w:rFonts w:eastAsia="Verdana"/>
                <w:color w:val="000000" w:themeColor="text1"/>
                <w:shd w:val="clear" w:color="auto" w:fill="FFFFFF"/>
              </w:rPr>
            </w:pPr>
            <w:r w:rsidRPr="007B2905">
              <w:rPr>
                <w:rFonts w:eastAsia="Verdana"/>
                <w:color w:val="000000" w:themeColor="text1"/>
                <w:shd w:val="clear" w:color="auto" w:fill="FFFFFF"/>
              </w:rPr>
              <w:t xml:space="preserve">9.2.2. </w:t>
            </w:r>
            <w:r w:rsidRPr="00F32BFD">
              <w:rPr>
                <w:rFonts w:eastAsia="Verdana"/>
                <w:color w:val="000000" w:themeColor="text1"/>
                <w:shd w:val="clear" w:color="auto" w:fill="FFFFFF"/>
                <w:lang w:val="hr-HR"/>
              </w:rPr>
              <w:t>Kvalitativna ocjena</w:t>
            </w:r>
            <w:r w:rsidRPr="007B2905">
              <w:rPr>
                <w:rFonts w:eastAsia="Verdana"/>
                <w:color w:val="000000" w:themeColor="text1"/>
                <w:shd w:val="clear" w:color="auto" w:fill="FFFFFF"/>
              </w:rPr>
              <w:t xml:space="preserve"> </w:t>
            </w:r>
            <w:r w:rsidRPr="007B2905">
              <w:rPr>
                <w:rFonts w:eastAsia="Verdana"/>
                <w:lang w:val="hr-HR"/>
              </w:rPr>
              <w:t>radiološkog prikaza. Svaku snimku ocijenit će dva radiologa</w:t>
            </w:r>
            <w:r w:rsidR="00F32BFD">
              <w:rPr>
                <w:rFonts w:eastAsia="Verdana"/>
                <w:lang w:val="hr-HR"/>
              </w:rPr>
              <w:t>, kako je opisano u Metodama</w:t>
            </w:r>
            <w:r w:rsidRPr="007B2905">
              <w:rPr>
                <w:rFonts w:eastAsia="Verdana"/>
                <w:lang w:val="hr-HR"/>
              </w:rPr>
              <w:t>.</w:t>
            </w:r>
          </w:p>
        </w:tc>
      </w:tr>
      <w:tr w:rsidR="002B3869" w:rsidRPr="007B2905">
        <w:trPr>
          <w:trHeight w:val="420"/>
        </w:trPr>
        <w:tc>
          <w:tcPr>
            <w:tcW w:w="9781" w:type="dxa"/>
            <w:gridSpan w:val="3"/>
            <w:vAlign w:val="center"/>
          </w:tcPr>
          <w:p w:rsidR="002B3869" w:rsidRPr="007B2905" w:rsidRDefault="00140B61">
            <w:pPr>
              <w:rPr>
                <w:lang w:val="hr-HR"/>
              </w:rPr>
            </w:pPr>
            <w:r w:rsidRPr="007B2905">
              <w:rPr>
                <w:rFonts w:eastAsia="Verdana"/>
                <w:b/>
                <w:lang w:val="hr-HR"/>
              </w:rPr>
              <w:t>10. Zamjenske (sekundarne) mjere ishoda:</w:t>
            </w:r>
          </w:p>
          <w:p w:rsidR="002B3869" w:rsidRPr="007B2905" w:rsidRDefault="00140B61">
            <w:pPr>
              <w:rPr>
                <w:lang w:val="hr-HR"/>
              </w:rPr>
            </w:pPr>
            <w:r w:rsidRPr="007B2905">
              <w:rPr>
                <w:rFonts w:eastAsia="Verdana"/>
                <w:lang w:val="hr-HR"/>
              </w:rPr>
              <w:t xml:space="preserve">10.1. Pozadinski šum u radiografskom prikazu </w:t>
            </w:r>
            <w:r w:rsidR="005E04B1" w:rsidRPr="007B2905">
              <w:rPr>
                <w:rFonts w:eastAsia="Verdana"/>
                <w:lang w:val="hr-HR"/>
              </w:rPr>
              <w:t xml:space="preserve">u </w:t>
            </w:r>
            <w:r w:rsidRPr="007B2905">
              <w:rPr>
                <w:rFonts w:eastAsia="Verdana"/>
                <w:lang w:val="hr-HR"/>
              </w:rPr>
              <w:t>obje skupine</w:t>
            </w:r>
            <w:r w:rsidR="00630C24" w:rsidRPr="007B2905">
              <w:rPr>
                <w:rFonts w:eastAsia="Verdana"/>
                <w:lang w:val="hr-HR"/>
              </w:rPr>
              <w:t xml:space="preserve"> </w:t>
            </w:r>
            <w:r w:rsidR="00630C24" w:rsidRPr="007B2905">
              <w:rPr>
                <w:rFonts w:eastAsia="Verdana"/>
                <w:highlight w:val="white"/>
                <w:lang w:val="hr-HR"/>
              </w:rPr>
              <w:t>(dB)</w:t>
            </w:r>
            <w:r w:rsidR="00242501" w:rsidRPr="007B2905">
              <w:rPr>
                <w:rFonts w:eastAsia="Verdana"/>
                <w:lang w:val="hr-HR"/>
              </w:rPr>
              <w:t>.</w:t>
            </w:r>
          </w:p>
          <w:p w:rsidR="002B3869" w:rsidRPr="007B2905" w:rsidRDefault="00140B61">
            <w:pPr>
              <w:jc w:val="both"/>
              <w:rPr>
                <w:lang w:val="hr-HR"/>
              </w:rPr>
            </w:pPr>
            <w:r w:rsidRPr="007B2905">
              <w:rPr>
                <w:rFonts w:eastAsia="Verdana"/>
                <w:lang w:val="hr-HR"/>
              </w:rPr>
              <w:t xml:space="preserve">10.2. Intenzitet signala u okolnom tkivu arterije </w:t>
            </w:r>
            <w:r w:rsidR="005E04B1" w:rsidRPr="007B2905">
              <w:rPr>
                <w:rFonts w:eastAsia="Verdana"/>
                <w:lang w:val="hr-HR"/>
              </w:rPr>
              <w:t xml:space="preserve">u </w:t>
            </w:r>
            <w:r w:rsidRPr="007B2905">
              <w:rPr>
                <w:rFonts w:eastAsia="Verdana"/>
                <w:lang w:val="hr-HR"/>
              </w:rPr>
              <w:t>obje skupine</w:t>
            </w:r>
            <w:r w:rsidR="00630C24" w:rsidRPr="007B2905">
              <w:rPr>
                <w:rFonts w:eastAsia="Verdana"/>
                <w:lang w:val="hr-HR"/>
              </w:rPr>
              <w:t xml:space="preserve"> </w:t>
            </w:r>
            <w:r w:rsidR="00630C24" w:rsidRPr="007B2905">
              <w:rPr>
                <w:rFonts w:eastAsia="Verdana"/>
                <w:highlight w:val="white"/>
                <w:lang w:val="hr-HR"/>
              </w:rPr>
              <w:t>(HU)</w:t>
            </w:r>
            <w:r w:rsidR="00242501" w:rsidRPr="007B2905">
              <w:rPr>
                <w:rFonts w:eastAsia="Verdana"/>
                <w:lang w:val="hr-HR"/>
              </w:rPr>
              <w:t>.</w:t>
            </w:r>
          </w:p>
          <w:p w:rsidR="002B3869" w:rsidRPr="007B2905" w:rsidRDefault="002B3869">
            <w:pPr>
              <w:rPr>
                <w:lang w:val="hr-HR"/>
              </w:rPr>
            </w:pPr>
          </w:p>
        </w:tc>
      </w:tr>
      <w:tr w:rsidR="002B3869" w:rsidRPr="007B2905">
        <w:trPr>
          <w:trHeight w:val="420"/>
        </w:trPr>
        <w:tc>
          <w:tcPr>
            <w:tcW w:w="9781" w:type="dxa"/>
            <w:gridSpan w:val="3"/>
            <w:vAlign w:val="center"/>
          </w:tcPr>
          <w:p w:rsidR="002B3869" w:rsidRPr="007B2905" w:rsidRDefault="00140B61">
            <w:pPr>
              <w:rPr>
                <w:lang w:val="hr-HR"/>
              </w:rPr>
            </w:pPr>
            <w:r w:rsidRPr="007B2905">
              <w:rPr>
                <w:rFonts w:eastAsia="Verdana"/>
                <w:b/>
                <w:lang w:val="hr-HR"/>
              </w:rPr>
              <w:t>11. Izračun veličine uzorka:</w:t>
            </w:r>
          </w:p>
          <w:p w:rsidR="002B3869" w:rsidRPr="007B2905" w:rsidRDefault="00140B61">
            <w:pPr>
              <w:jc w:val="both"/>
              <w:rPr>
                <w:lang w:val="hr-HR"/>
              </w:rPr>
            </w:pPr>
            <w:r w:rsidRPr="007B2905">
              <w:rPr>
                <w:rFonts w:eastAsia="Verdana"/>
                <w:lang w:val="hr-HR"/>
              </w:rPr>
              <w:t>Procjena veličine uzorka i</w:t>
            </w:r>
            <w:r w:rsidR="00433550" w:rsidRPr="007B2905">
              <w:rPr>
                <w:rFonts w:eastAsia="Verdana"/>
                <w:lang w:val="hr-HR"/>
              </w:rPr>
              <w:t xml:space="preserve">zračunat će se </w:t>
            </w:r>
            <w:r w:rsidR="004747ED" w:rsidRPr="007B2905">
              <w:rPr>
                <w:rFonts w:eastAsia="Verdana"/>
                <w:lang w:val="hr-HR"/>
              </w:rPr>
              <w:t xml:space="preserve">s </w:t>
            </w:r>
            <w:r w:rsidR="00433550" w:rsidRPr="007B2905">
              <w:rPr>
                <w:rFonts w:eastAsia="Verdana"/>
                <w:lang w:val="hr-HR"/>
              </w:rPr>
              <w:t xml:space="preserve">pomoću </w:t>
            </w:r>
            <w:r w:rsidRPr="007B2905">
              <w:rPr>
                <w:rFonts w:eastAsia="Verdana"/>
                <w:lang w:val="hr-HR"/>
              </w:rPr>
              <w:t xml:space="preserve">mrežne aplikacije za računanje veličine uzorka, </w:t>
            </w:r>
            <w:hyperlink r:id="rId7" w:history="1">
              <w:r w:rsidR="001E4E53" w:rsidRPr="007B2905">
                <w:rPr>
                  <w:rStyle w:val="Hyperlink"/>
                  <w:rFonts w:eastAsia="Verdana"/>
                  <w:lang w:val="hr-HR"/>
                </w:rPr>
                <w:t>http://www.stat.ubc.ca/~rollin/stats/ssize/</w:t>
              </w:r>
            </w:hyperlink>
            <w:r w:rsidR="001E4E53" w:rsidRPr="007B2905">
              <w:rPr>
                <w:rFonts w:eastAsia="Verdana"/>
                <w:lang w:val="hr-HR"/>
              </w:rPr>
              <w:t xml:space="preserve">, točnije </w:t>
            </w:r>
            <w:r w:rsidRPr="007B2905">
              <w:rPr>
                <w:rFonts w:eastAsia="Verdana"/>
                <w:lang w:val="hr-HR"/>
              </w:rPr>
              <w:t>testom proporcija za dva nezavisna uzorka.</w:t>
            </w:r>
          </w:p>
          <w:p w:rsidR="002B3869" w:rsidRPr="007B2905" w:rsidRDefault="00140B61">
            <w:pPr>
              <w:jc w:val="both"/>
              <w:rPr>
                <w:lang w:val="hr-HR"/>
              </w:rPr>
            </w:pPr>
            <w:r w:rsidRPr="007B2905">
              <w:rPr>
                <w:rFonts w:eastAsia="Verdana"/>
                <w:lang w:val="hr-HR"/>
              </w:rPr>
              <w:t>Točan izračun potrebnog broja ispitanika izračunat će se nakon mjerenja na fantomima, koja će dati preliminarne vrijednosti razlike u isporučenim dozama i kvaliteti snimke za dva različita parametra snimanja.</w:t>
            </w:r>
          </w:p>
          <w:p w:rsidR="002B3869" w:rsidRPr="007B2905" w:rsidRDefault="00140B61">
            <w:pPr>
              <w:jc w:val="both"/>
              <w:rPr>
                <w:lang w:val="hr-HR"/>
              </w:rPr>
            </w:pPr>
            <w:r w:rsidRPr="007B2905">
              <w:rPr>
                <w:rFonts w:eastAsia="Verdana"/>
                <w:lang w:val="hr-HR"/>
              </w:rPr>
              <w:t>Za or</w:t>
            </w:r>
            <w:r w:rsidR="00D264EE" w:rsidRPr="007B2905">
              <w:rPr>
                <w:rFonts w:eastAsia="Verdana"/>
                <w:lang w:val="hr-HR"/>
              </w:rPr>
              <w:t>i</w:t>
            </w:r>
            <w:r w:rsidRPr="007B2905">
              <w:rPr>
                <w:rFonts w:eastAsia="Verdana"/>
                <w:lang w:val="hr-HR"/>
              </w:rPr>
              <w:t xml:space="preserve">jentaciju, a sukladno istraživanju </w:t>
            </w:r>
            <w:r w:rsidR="00361DDD" w:rsidRPr="007B2905">
              <w:rPr>
                <w:rFonts w:eastAsia="Verdana"/>
                <w:lang w:val="hr-HR"/>
              </w:rPr>
              <w:t>„</w:t>
            </w:r>
            <w:proofErr w:type="spellStart"/>
            <w:r w:rsidRPr="007B2905">
              <w:rPr>
                <w:rFonts w:eastAsia="Verdana"/>
                <w:i/>
                <w:lang w:val="hr-HR"/>
              </w:rPr>
              <w:t>Using</w:t>
            </w:r>
            <w:proofErr w:type="spellEnd"/>
            <w:r w:rsidRPr="007B2905">
              <w:rPr>
                <w:rFonts w:eastAsia="Verdana"/>
                <w:i/>
                <w:lang w:val="hr-HR"/>
              </w:rPr>
              <w:t xml:space="preserve"> 80 </w:t>
            </w:r>
            <w:proofErr w:type="spellStart"/>
            <w:r w:rsidRPr="007B2905">
              <w:rPr>
                <w:rFonts w:eastAsia="Verdana"/>
                <w:i/>
                <w:lang w:val="hr-HR"/>
              </w:rPr>
              <w:t>kVp</w:t>
            </w:r>
            <w:proofErr w:type="spellEnd"/>
            <w:r w:rsidRPr="007B2905">
              <w:rPr>
                <w:rFonts w:eastAsia="Verdana"/>
                <w:i/>
                <w:lang w:val="hr-HR"/>
              </w:rPr>
              <w:t xml:space="preserve"> </w:t>
            </w:r>
            <w:proofErr w:type="spellStart"/>
            <w:r w:rsidRPr="007B2905">
              <w:rPr>
                <w:rFonts w:eastAsia="Verdana"/>
                <w:i/>
                <w:lang w:val="hr-HR"/>
              </w:rPr>
              <w:t>versus</w:t>
            </w:r>
            <w:proofErr w:type="spellEnd"/>
            <w:r w:rsidRPr="007B2905">
              <w:rPr>
                <w:rFonts w:eastAsia="Verdana"/>
                <w:i/>
                <w:lang w:val="hr-HR"/>
              </w:rPr>
              <w:t xml:space="preserve"> 120 </w:t>
            </w:r>
            <w:proofErr w:type="spellStart"/>
            <w:r w:rsidRPr="007B2905">
              <w:rPr>
                <w:rFonts w:eastAsia="Verdana"/>
                <w:i/>
                <w:lang w:val="hr-HR"/>
              </w:rPr>
              <w:t>kVp</w:t>
            </w:r>
            <w:proofErr w:type="spellEnd"/>
            <w:r w:rsidRPr="007B2905">
              <w:rPr>
                <w:rFonts w:eastAsia="Verdana"/>
                <w:i/>
                <w:lang w:val="hr-HR"/>
              </w:rPr>
              <w:t xml:space="preserve"> </w:t>
            </w:r>
            <w:proofErr w:type="spellStart"/>
            <w:r w:rsidRPr="007B2905">
              <w:rPr>
                <w:rFonts w:eastAsia="Verdana"/>
                <w:i/>
                <w:lang w:val="hr-HR"/>
              </w:rPr>
              <w:t>in</w:t>
            </w:r>
            <w:proofErr w:type="spellEnd"/>
            <w:r w:rsidRPr="007B2905">
              <w:rPr>
                <w:rFonts w:eastAsia="Verdana"/>
                <w:i/>
                <w:lang w:val="hr-HR"/>
              </w:rPr>
              <w:t xml:space="preserve"> </w:t>
            </w:r>
            <w:proofErr w:type="spellStart"/>
            <w:r w:rsidRPr="007B2905">
              <w:rPr>
                <w:rFonts w:eastAsia="Verdana"/>
                <w:i/>
                <w:lang w:val="hr-HR"/>
              </w:rPr>
              <w:t>perfusion</w:t>
            </w:r>
            <w:proofErr w:type="spellEnd"/>
            <w:r w:rsidRPr="007B2905">
              <w:rPr>
                <w:rFonts w:eastAsia="Verdana"/>
                <w:i/>
                <w:lang w:val="hr-HR"/>
              </w:rPr>
              <w:t xml:space="preserve"> CT </w:t>
            </w:r>
            <w:proofErr w:type="spellStart"/>
            <w:r w:rsidRPr="007B2905">
              <w:rPr>
                <w:rFonts w:eastAsia="Verdana"/>
                <w:i/>
                <w:lang w:val="hr-HR"/>
              </w:rPr>
              <w:t>measurement</w:t>
            </w:r>
            <w:proofErr w:type="spellEnd"/>
            <w:r w:rsidRPr="007B2905">
              <w:rPr>
                <w:rFonts w:eastAsia="Verdana"/>
                <w:i/>
                <w:lang w:val="hr-HR"/>
              </w:rPr>
              <w:t xml:space="preserve"> of </w:t>
            </w:r>
            <w:proofErr w:type="spellStart"/>
            <w:r w:rsidRPr="007B2905">
              <w:rPr>
                <w:rFonts w:eastAsia="Verdana"/>
                <w:i/>
                <w:lang w:val="hr-HR"/>
              </w:rPr>
              <w:t>regional</w:t>
            </w:r>
            <w:proofErr w:type="spellEnd"/>
            <w:r w:rsidRPr="007B2905">
              <w:rPr>
                <w:rFonts w:eastAsia="Verdana"/>
                <w:i/>
                <w:lang w:val="hr-HR"/>
              </w:rPr>
              <w:t xml:space="preserve"> </w:t>
            </w:r>
            <w:proofErr w:type="spellStart"/>
            <w:r w:rsidRPr="007B2905">
              <w:rPr>
                <w:rFonts w:eastAsia="Verdana"/>
                <w:i/>
                <w:lang w:val="hr-HR"/>
              </w:rPr>
              <w:t>cerebral</w:t>
            </w:r>
            <w:proofErr w:type="spellEnd"/>
            <w:r w:rsidRPr="007B2905">
              <w:rPr>
                <w:rFonts w:eastAsia="Verdana"/>
                <w:i/>
                <w:lang w:val="hr-HR"/>
              </w:rPr>
              <w:t xml:space="preserve"> </w:t>
            </w:r>
            <w:proofErr w:type="spellStart"/>
            <w:r w:rsidRPr="007B2905">
              <w:rPr>
                <w:rFonts w:eastAsia="Verdana"/>
                <w:i/>
                <w:lang w:val="hr-HR"/>
              </w:rPr>
              <w:t>blood</w:t>
            </w:r>
            <w:proofErr w:type="spellEnd"/>
            <w:r w:rsidRPr="007B2905">
              <w:rPr>
                <w:rFonts w:eastAsia="Verdana"/>
                <w:i/>
                <w:lang w:val="hr-HR"/>
              </w:rPr>
              <w:t xml:space="preserve"> </w:t>
            </w:r>
            <w:proofErr w:type="spellStart"/>
            <w:r w:rsidRPr="007B2905">
              <w:rPr>
                <w:rFonts w:eastAsia="Verdana"/>
                <w:i/>
                <w:lang w:val="hr-HR"/>
              </w:rPr>
              <w:t>flow</w:t>
            </w:r>
            <w:proofErr w:type="spellEnd"/>
            <w:r w:rsidR="00361DDD" w:rsidRPr="007B2905">
              <w:rPr>
                <w:rFonts w:eastAsia="Verdana"/>
                <w:i/>
                <w:lang w:val="hr-HR"/>
              </w:rPr>
              <w:t>“</w:t>
            </w:r>
            <w:r w:rsidRPr="007B2905">
              <w:rPr>
                <w:rFonts w:eastAsia="Verdana"/>
                <w:lang w:val="hr-HR"/>
              </w:rPr>
              <w:t xml:space="preserve"> [10] gdje su dobiveni </w:t>
            </w:r>
            <w:r w:rsidR="006C6E18" w:rsidRPr="007B2905">
              <w:rPr>
                <w:rFonts w:eastAsia="Verdana"/>
                <w:lang w:val="hr-HR"/>
              </w:rPr>
              <w:t xml:space="preserve">ishodi </w:t>
            </w:r>
            <w:r w:rsidRPr="007B2905">
              <w:rPr>
                <w:rFonts w:eastAsia="Verdana"/>
                <w:lang w:val="hr-HR"/>
              </w:rPr>
              <w:t>šuma pri 80</w:t>
            </w:r>
            <w:r w:rsidR="006C6E18" w:rsidRPr="007B2905">
              <w:rPr>
                <w:rFonts w:eastAsia="Verdana"/>
                <w:lang w:val="hr-HR"/>
              </w:rPr>
              <w:t xml:space="preserve"> </w:t>
            </w:r>
            <w:r w:rsidRPr="007B2905">
              <w:rPr>
                <w:rFonts w:eastAsia="Verdana"/>
                <w:lang w:val="hr-HR"/>
              </w:rPr>
              <w:t>kV 6</w:t>
            </w:r>
            <w:r w:rsidR="006C6E18" w:rsidRPr="007B2905">
              <w:rPr>
                <w:rFonts w:eastAsia="Verdana"/>
                <w:lang w:val="hr-HR"/>
              </w:rPr>
              <w:t>,</w:t>
            </w:r>
            <w:r w:rsidRPr="007B2905">
              <w:rPr>
                <w:rFonts w:eastAsia="Verdana"/>
                <w:lang w:val="hr-HR"/>
              </w:rPr>
              <w:t>6</w:t>
            </w:r>
            <w:r w:rsidR="00266203" w:rsidRPr="007B2905">
              <w:rPr>
                <w:rFonts w:eastAsia="Verdana"/>
                <w:lang w:val="hr-HR"/>
              </w:rPr>
              <w:t xml:space="preserve"> </w:t>
            </w:r>
            <w:r w:rsidRPr="007B2905">
              <w:rPr>
                <w:rFonts w:eastAsia="Verdana"/>
                <w:lang w:val="hr-HR"/>
              </w:rPr>
              <w:t xml:space="preserve">HU </w:t>
            </w:r>
            <w:r w:rsidR="00170CE7" w:rsidRPr="007B2905">
              <w:rPr>
                <w:rFonts w:eastAsia="Verdana"/>
                <w:lang w:val="hr-HR"/>
              </w:rPr>
              <w:t>te 5,3</w:t>
            </w:r>
            <w:r w:rsidR="008D0BA0" w:rsidRPr="007B2905">
              <w:rPr>
                <w:rFonts w:eastAsia="Verdana"/>
                <w:lang w:val="hr-HR"/>
              </w:rPr>
              <w:t xml:space="preserve"> </w:t>
            </w:r>
            <w:r w:rsidR="00170CE7" w:rsidRPr="007B2905">
              <w:rPr>
                <w:rFonts w:eastAsia="Verdana"/>
                <w:lang w:val="hr-HR"/>
              </w:rPr>
              <w:t>HU</w:t>
            </w:r>
            <w:r w:rsidR="00170CE7" w:rsidRPr="007B2905" w:rsidDel="009674E6">
              <w:rPr>
                <w:rFonts w:eastAsia="Verdana"/>
                <w:lang w:val="hr-HR"/>
              </w:rPr>
              <w:t xml:space="preserve"> </w:t>
            </w:r>
            <w:r w:rsidRPr="007B2905">
              <w:rPr>
                <w:rFonts w:eastAsia="Verdana"/>
                <w:lang w:val="hr-HR"/>
              </w:rPr>
              <w:t>pri 120</w:t>
            </w:r>
            <w:r w:rsidR="00170CE7" w:rsidRPr="007B2905">
              <w:rPr>
                <w:rFonts w:eastAsia="Verdana"/>
                <w:lang w:val="hr-HR"/>
              </w:rPr>
              <w:t xml:space="preserve"> </w:t>
            </w:r>
            <w:r w:rsidRPr="007B2905">
              <w:rPr>
                <w:rFonts w:eastAsia="Verdana"/>
                <w:lang w:val="hr-HR"/>
              </w:rPr>
              <w:t>kV, uz standardnu devijaciju od 3</w:t>
            </w:r>
            <w:r w:rsidR="008D0BA0" w:rsidRPr="007B2905">
              <w:rPr>
                <w:rFonts w:eastAsia="Verdana"/>
                <w:lang w:val="hr-HR"/>
              </w:rPr>
              <w:t>,</w:t>
            </w:r>
            <w:r w:rsidRPr="007B2905">
              <w:rPr>
                <w:rFonts w:eastAsia="Verdana"/>
                <w:lang w:val="hr-HR"/>
              </w:rPr>
              <w:t>25, treba računati na uzorak od 99 ispitanika u svakoj skupini.</w:t>
            </w:r>
          </w:p>
          <w:p w:rsidR="002B3869" w:rsidRPr="007B2905" w:rsidRDefault="002B3869">
            <w:pPr>
              <w:rPr>
                <w:lang w:val="hr-HR"/>
              </w:rPr>
            </w:pPr>
          </w:p>
        </w:tc>
      </w:tr>
      <w:tr w:rsidR="002B3869" w:rsidRPr="007B2905">
        <w:trPr>
          <w:trHeight w:val="420"/>
        </w:trPr>
        <w:tc>
          <w:tcPr>
            <w:tcW w:w="9781" w:type="dxa"/>
            <w:gridSpan w:val="3"/>
            <w:vAlign w:val="center"/>
          </w:tcPr>
          <w:p w:rsidR="002B3869" w:rsidRPr="007B2905" w:rsidRDefault="00140B61">
            <w:pPr>
              <w:rPr>
                <w:lang w:val="hr-HR"/>
              </w:rPr>
            </w:pPr>
            <w:r w:rsidRPr="007B2905">
              <w:rPr>
                <w:rFonts w:eastAsia="Verdana"/>
                <w:b/>
                <w:lang w:val="hr-HR"/>
              </w:rPr>
              <w:t>12. Statistički testovi:</w:t>
            </w:r>
          </w:p>
          <w:p w:rsidR="002B3869" w:rsidRPr="007B2905" w:rsidRDefault="00BC196A">
            <w:pPr>
              <w:jc w:val="both"/>
              <w:rPr>
                <w:lang w:val="hr-HR"/>
              </w:rPr>
            </w:pPr>
            <w:r w:rsidRPr="007B2905">
              <w:rPr>
                <w:rFonts w:eastAsia="Verdana"/>
                <w:lang w:val="hr-HR"/>
              </w:rPr>
              <w:t>Podatci će se prikupljati s pomoću aplikacije</w:t>
            </w:r>
            <w:r w:rsidR="00140B61" w:rsidRPr="007B2905">
              <w:rPr>
                <w:rFonts w:eastAsia="Verdana"/>
                <w:lang w:val="hr-HR"/>
              </w:rPr>
              <w:t xml:space="preserve"> </w:t>
            </w:r>
            <w:proofErr w:type="spellStart"/>
            <w:r w:rsidR="00140B61" w:rsidRPr="007B2905">
              <w:rPr>
                <w:rFonts w:eastAsia="Verdana"/>
                <w:i/>
                <w:lang w:val="hr-HR"/>
              </w:rPr>
              <w:t>Google</w:t>
            </w:r>
            <w:proofErr w:type="spellEnd"/>
            <w:r w:rsidR="00140B61" w:rsidRPr="007B2905">
              <w:rPr>
                <w:rFonts w:eastAsia="Verdana"/>
                <w:i/>
                <w:lang w:val="hr-HR"/>
              </w:rPr>
              <w:t xml:space="preserve"> </w:t>
            </w:r>
            <w:proofErr w:type="spellStart"/>
            <w:r w:rsidR="00140B61" w:rsidRPr="007B2905">
              <w:rPr>
                <w:rFonts w:eastAsia="Verdana"/>
                <w:i/>
                <w:lang w:val="hr-HR"/>
              </w:rPr>
              <w:t>Sheets</w:t>
            </w:r>
            <w:proofErr w:type="spellEnd"/>
            <w:r w:rsidR="00140B61" w:rsidRPr="007B2905">
              <w:rPr>
                <w:rFonts w:eastAsia="Verdana"/>
                <w:i/>
                <w:lang w:val="hr-HR"/>
              </w:rPr>
              <w:t xml:space="preserve"> </w:t>
            </w:r>
            <w:r w:rsidR="00140B61" w:rsidRPr="007B2905">
              <w:rPr>
                <w:rFonts w:eastAsia="Verdana"/>
                <w:lang w:val="hr-HR"/>
              </w:rPr>
              <w:t>(</w:t>
            </w:r>
            <w:proofErr w:type="spellStart"/>
            <w:r w:rsidR="00140B61" w:rsidRPr="007B2905">
              <w:rPr>
                <w:rFonts w:eastAsia="Verdana"/>
                <w:lang w:val="hr-HR"/>
              </w:rPr>
              <w:t>Google</w:t>
            </w:r>
            <w:proofErr w:type="spellEnd"/>
            <w:r w:rsidR="00140B61" w:rsidRPr="007B2905">
              <w:rPr>
                <w:rFonts w:eastAsia="Verdana"/>
                <w:lang w:val="hr-HR"/>
              </w:rPr>
              <w:t xml:space="preserve"> </w:t>
            </w:r>
            <w:proofErr w:type="spellStart"/>
            <w:r w:rsidR="00140B61" w:rsidRPr="007B2905">
              <w:rPr>
                <w:rFonts w:eastAsia="Verdana"/>
                <w:lang w:val="hr-HR"/>
              </w:rPr>
              <w:t>Inc</w:t>
            </w:r>
            <w:proofErr w:type="spellEnd"/>
            <w:r w:rsidR="00140B61" w:rsidRPr="007B2905">
              <w:rPr>
                <w:rFonts w:eastAsia="Verdana"/>
                <w:lang w:val="hr-HR"/>
              </w:rPr>
              <w:t xml:space="preserve">., </w:t>
            </w:r>
            <w:proofErr w:type="spellStart"/>
            <w:r w:rsidR="00140B61" w:rsidRPr="007B2905">
              <w:rPr>
                <w:rFonts w:eastAsia="Verdana"/>
                <w:lang w:val="hr-HR"/>
              </w:rPr>
              <w:t>Mountain</w:t>
            </w:r>
            <w:proofErr w:type="spellEnd"/>
            <w:r w:rsidR="00140B61" w:rsidRPr="007B2905">
              <w:rPr>
                <w:rFonts w:eastAsia="Verdana"/>
                <w:lang w:val="hr-HR"/>
              </w:rPr>
              <w:t xml:space="preserve"> </w:t>
            </w:r>
            <w:proofErr w:type="spellStart"/>
            <w:r w:rsidR="00140B61" w:rsidRPr="007B2905">
              <w:rPr>
                <w:rFonts w:eastAsia="Verdana"/>
                <w:lang w:val="hr-HR"/>
              </w:rPr>
              <w:t>View</w:t>
            </w:r>
            <w:proofErr w:type="spellEnd"/>
            <w:r w:rsidR="00140B61" w:rsidRPr="007B2905">
              <w:rPr>
                <w:rFonts w:eastAsia="Verdana"/>
                <w:lang w:val="hr-HR"/>
              </w:rPr>
              <w:t>, Kalifornija, SAD)</w:t>
            </w:r>
            <w:r w:rsidRPr="007B2905">
              <w:rPr>
                <w:rFonts w:eastAsia="Verdana"/>
                <w:lang w:val="hr-HR"/>
              </w:rPr>
              <w:t>,</w:t>
            </w:r>
            <w:r w:rsidR="00140B61" w:rsidRPr="007B2905">
              <w:rPr>
                <w:rFonts w:eastAsia="Verdana"/>
                <w:lang w:val="hr-HR"/>
              </w:rPr>
              <w:t xml:space="preserve"> a </w:t>
            </w:r>
            <w:r w:rsidR="002748C3" w:rsidRPr="007B2905">
              <w:rPr>
                <w:rFonts w:eastAsia="Verdana"/>
                <w:lang w:val="hr-HR"/>
              </w:rPr>
              <w:t xml:space="preserve">obrađivati s pomoću </w:t>
            </w:r>
            <w:r w:rsidR="005531C6" w:rsidRPr="007B2905">
              <w:rPr>
                <w:rFonts w:eastAsia="Verdana"/>
                <w:lang w:val="hr-HR"/>
              </w:rPr>
              <w:t>aplikacije</w:t>
            </w:r>
            <w:r w:rsidR="00140B61" w:rsidRPr="007B2905">
              <w:rPr>
                <w:rFonts w:eastAsia="Verdana"/>
                <w:lang w:val="hr-HR"/>
              </w:rPr>
              <w:t xml:space="preserve"> </w:t>
            </w:r>
            <w:proofErr w:type="spellStart"/>
            <w:r w:rsidR="00140B61" w:rsidRPr="007B2905">
              <w:rPr>
                <w:rFonts w:eastAsia="Verdana"/>
                <w:i/>
                <w:lang w:val="hr-HR"/>
              </w:rPr>
              <w:t>MedCalc</w:t>
            </w:r>
            <w:proofErr w:type="spellEnd"/>
            <w:r w:rsidR="00140B61" w:rsidRPr="007B2905">
              <w:rPr>
                <w:rFonts w:eastAsia="Verdana"/>
                <w:lang w:val="hr-HR"/>
              </w:rPr>
              <w:t xml:space="preserve"> (</w:t>
            </w:r>
            <w:proofErr w:type="spellStart"/>
            <w:r w:rsidR="00140B61" w:rsidRPr="007B2905">
              <w:rPr>
                <w:rFonts w:eastAsia="Verdana"/>
                <w:lang w:val="hr-HR"/>
              </w:rPr>
              <w:t>MedCalc</w:t>
            </w:r>
            <w:proofErr w:type="spellEnd"/>
            <w:r w:rsidR="00140B61" w:rsidRPr="007B2905">
              <w:rPr>
                <w:rFonts w:eastAsia="Verdana"/>
                <w:lang w:val="hr-HR"/>
              </w:rPr>
              <w:t xml:space="preserve"> </w:t>
            </w:r>
            <w:proofErr w:type="spellStart"/>
            <w:r w:rsidR="00140B61" w:rsidRPr="007B2905">
              <w:rPr>
                <w:rFonts w:eastAsia="Verdana"/>
                <w:lang w:val="hr-HR"/>
              </w:rPr>
              <w:t>Software</w:t>
            </w:r>
            <w:proofErr w:type="spellEnd"/>
            <w:r w:rsidR="00140B61" w:rsidRPr="007B2905">
              <w:rPr>
                <w:rFonts w:eastAsia="Verdana"/>
                <w:lang w:val="hr-HR"/>
              </w:rPr>
              <w:t xml:space="preserve"> </w:t>
            </w:r>
            <w:proofErr w:type="spellStart"/>
            <w:r w:rsidR="00140B61" w:rsidRPr="007B2905">
              <w:rPr>
                <w:rFonts w:eastAsia="Verdana"/>
                <w:lang w:val="hr-HR"/>
              </w:rPr>
              <w:t>bvba</w:t>
            </w:r>
            <w:proofErr w:type="spellEnd"/>
            <w:r w:rsidR="00140B61" w:rsidRPr="007B2905">
              <w:rPr>
                <w:rFonts w:eastAsia="Verdana"/>
                <w:lang w:val="hr-HR"/>
              </w:rPr>
              <w:t xml:space="preserve">, </w:t>
            </w:r>
            <w:proofErr w:type="spellStart"/>
            <w:r w:rsidR="00140B61" w:rsidRPr="007B2905">
              <w:rPr>
                <w:rFonts w:eastAsia="Verdana"/>
                <w:lang w:val="hr-HR"/>
              </w:rPr>
              <w:t>Ostend</w:t>
            </w:r>
            <w:proofErr w:type="spellEnd"/>
            <w:r w:rsidR="00140B61" w:rsidRPr="007B2905">
              <w:rPr>
                <w:rFonts w:eastAsia="Verdana"/>
                <w:lang w:val="hr-HR"/>
              </w:rPr>
              <w:t>, Belgija).</w:t>
            </w:r>
          </w:p>
          <w:p w:rsidR="002B3869" w:rsidRPr="007B2905" w:rsidRDefault="00140B61">
            <w:pPr>
              <w:jc w:val="both"/>
              <w:rPr>
                <w:lang w:val="hr-HR"/>
              </w:rPr>
            </w:pPr>
            <w:r w:rsidRPr="007B2905">
              <w:rPr>
                <w:rFonts w:eastAsia="Verdana"/>
                <w:lang w:val="hr-HR"/>
              </w:rPr>
              <w:t xml:space="preserve">Analiza normalne raspodjele podataka napravit će se </w:t>
            </w:r>
            <w:proofErr w:type="spellStart"/>
            <w:r w:rsidRPr="007B2905">
              <w:rPr>
                <w:rFonts w:eastAsia="Verdana"/>
                <w:lang w:val="hr-HR"/>
              </w:rPr>
              <w:t>Kolmogorov</w:t>
            </w:r>
            <w:proofErr w:type="spellEnd"/>
            <w:r w:rsidRPr="007B2905">
              <w:rPr>
                <w:rFonts w:eastAsia="Verdana"/>
                <w:lang w:val="hr-HR"/>
              </w:rPr>
              <w:t>-</w:t>
            </w:r>
            <w:proofErr w:type="spellStart"/>
            <w:r w:rsidRPr="007B2905">
              <w:rPr>
                <w:rFonts w:eastAsia="Verdana"/>
                <w:lang w:val="hr-HR"/>
              </w:rPr>
              <w:t>Smirnovljevim</w:t>
            </w:r>
            <w:proofErr w:type="spellEnd"/>
            <w:r w:rsidRPr="007B2905">
              <w:rPr>
                <w:rFonts w:eastAsia="Verdana"/>
                <w:lang w:val="hr-HR"/>
              </w:rPr>
              <w:t xml:space="preserve"> testom.</w:t>
            </w:r>
          </w:p>
          <w:p w:rsidR="002B3869" w:rsidRPr="007B2905" w:rsidRDefault="00140B61">
            <w:pPr>
              <w:jc w:val="both"/>
              <w:rPr>
                <w:lang w:val="hr-HR"/>
              </w:rPr>
            </w:pPr>
            <w:r w:rsidRPr="007B2905">
              <w:rPr>
                <w:rFonts w:eastAsia="Verdana"/>
                <w:lang w:val="hr-HR"/>
              </w:rPr>
              <w:t xml:space="preserve">Statističkim testovima izračunat će se aritmetička sredina vrijednosti u kontrolnoj i pokusnoj </w:t>
            </w:r>
            <w:r w:rsidRPr="007B2905">
              <w:rPr>
                <w:rFonts w:eastAsia="Verdana"/>
                <w:lang w:val="hr-HR"/>
              </w:rPr>
              <w:lastRenderedPageBreak/>
              <w:t>skupini, uz određivanje standardne devijacije. Usporedba kontinuiranih varijabli vršit će se putem Studentova t-testa i X</w:t>
            </w:r>
            <w:r w:rsidRPr="007B2905">
              <w:rPr>
                <w:rFonts w:eastAsia="Verdana"/>
                <w:vertAlign w:val="superscript"/>
                <w:lang w:val="hr-HR"/>
              </w:rPr>
              <w:t>2</w:t>
            </w:r>
            <w:r w:rsidRPr="007B2905">
              <w:rPr>
                <w:rFonts w:eastAsia="Verdana"/>
                <w:lang w:val="hr-HR"/>
              </w:rPr>
              <w:t xml:space="preserve"> testa. P</w:t>
            </w:r>
            <w:r w:rsidR="005921D4" w:rsidRPr="007B2905">
              <w:rPr>
                <w:rFonts w:eastAsia="Verdana"/>
                <w:lang w:val="hr-HR"/>
              </w:rPr>
              <w:t xml:space="preserve"> </w:t>
            </w:r>
            <w:r w:rsidRPr="007B2905">
              <w:rPr>
                <w:rFonts w:eastAsia="Verdana"/>
                <w:lang w:val="hr-HR"/>
              </w:rPr>
              <w:t>&lt;</w:t>
            </w:r>
            <w:r w:rsidR="005921D4" w:rsidRPr="007B2905">
              <w:rPr>
                <w:rFonts w:eastAsia="Verdana"/>
                <w:lang w:val="hr-HR"/>
              </w:rPr>
              <w:t xml:space="preserve"> </w:t>
            </w:r>
            <w:r w:rsidRPr="007B2905">
              <w:rPr>
                <w:rFonts w:eastAsia="Verdana"/>
                <w:lang w:val="hr-HR"/>
              </w:rPr>
              <w:t>0</w:t>
            </w:r>
            <w:r w:rsidR="005921D4" w:rsidRPr="007B2905">
              <w:rPr>
                <w:rFonts w:eastAsia="Verdana"/>
                <w:lang w:val="hr-HR"/>
              </w:rPr>
              <w:t>,</w:t>
            </w:r>
            <w:r w:rsidRPr="007B2905">
              <w:rPr>
                <w:rFonts w:eastAsia="Verdana"/>
                <w:lang w:val="hr-HR"/>
              </w:rPr>
              <w:t>05 smatrat će se statistički značajnim. Za</w:t>
            </w:r>
            <w:r w:rsidR="00710F85" w:rsidRPr="007B2905">
              <w:rPr>
                <w:rFonts w:eastAsia="Verdana"/>
                <w:lang w:val="hr-HR"/>
              </w:rPr>
              <w:t xml:space="preserve"> veću preciznost</w:t>
            </w:r>
            <w:r w:rsidRPr="007B2905">
              <w:rPr>
                <w:rFonts w:eastAsia="Verdana"/>
                <w:lang w:val="hr-HR"/>
              </w:rPr>
              <w:t xml:space="preserve"> </w:t>
            </w:r>
            <w:proofErr w:type="spellStart"/>
            <w:r w:rsidRPr="007B2905">
              <w:rPr>
                <w:rFonts w:eastAsia="Verdana"/>
                <w:lang w:val="hr-HR"/>
              </w:rPr>
              <w:t>primjenit</w:t>
            </w:r>
            <w:proofErr w:type="spellEnd"/>
            <w:r w:rsidRPr="007B2905">
              <w:rPr>
                <w:rFonts w:eastAsia="Verdana"/>
                <w:lang w:val="hr-HR"/>
              </w:rPr>
              <w:t xml:space="preserve"> će se </w:t>
            </w:r>
            <w:proofErr w:type="spellStart"/>
            <w:r w:rsidRPr="007B2905">
              <w:rPr>
                <w:rFonts w:eastAsia="Verdana"/>
                <w:lang w:val="hr-HR"/>
              </w:rPr>
              <w:t>Bonferroni</w:t>
            </w:r>
            <w:proofErr w:type="spellEnd"/>
            <w:r w:rsidRPr="007B2905">
              <w:rPr>
                <w:rFonts w:eastAsia="Verdana"/>
                <w:lang w:val="hr-HR"/>
              </w:rPr>
              <w:t xml:space="preserve"> korekcija.</w:t>
            </w:r>
          </w:p>
          <w:p w:rsidR="002B3869" w:rsidRPr="007B2905" w:rsidRDefault="002B3869">
            <w:pPr>
              <w:jc w:val="both"/>
              <w:rPr>
                <w:lang w:val="hr-HR"/>
              </w:rPr>
            </w:pPr>
          </w:p>
        </w:tc>
      </w:tr>
      <w:tr w:rsidR="002B3869" w:rsidRPr="007B2905">
        <w:trPr>
          <w:trHeight w:val="420"/>
        </w:trPr>
        <w:tc>
          <w:tcPr>
            <w:tcW w:w="9781" w:type="dxa"/>
            <w:gridSpan w:val="3"/>
            <w:vAlign w:val="center"/>
          </w:tcPr>
          <w:p w:rsidR="002B3869" w:rsidRPr="007B2905" w:rsidRDefault="00140B61">
            <w:pPr>
              <w:rPr>
                <w:lang w:val="hr-HR"/>
              </w:rPr>
            </w:pPr>
            <w:r w:rsidRPr="007B2905">
              <w:rPr>
                <w:rFonts w:eastAsia="Verdana"/>
                <w:b/>
                <w:lang w:val="hr-HR"/>
              </w:rPr>
              <w:lastRenderedPageBreak/>
              <w:t>13. Zbunjujući čimbenici i odstupanja</w:t>
            </w:r>
          </w:p>
          <w:p w:rsidR="002B3869" w:rsidRPr="007B2905" w:rsidRDefault="00140B61">
            <w:pPr>
              <w:jc w:val="both"/>
              <w:rPr>
                <w:lang w:val="hr-HR"/>
              </w:rPr>
            </w:pPr>
            <w:r w:rsidRPr="007B2905">
              <w:rPr>
                <w:rFonts w:eastAsia="Verdana"/>
                <w:lang w:val="hr-HR"/>
              </w:rPr>
              <w:t xml:space="preserve">Moguć zbunjujući čimbenik bit će relativno malen i </w:t>
            </w:r>
            <w:proofErr w:type="spellStart"/>
            <w:r w:rsidRPr="007B2905">
              <w:rPr>
                <w:rFonts w:eastAsia="Verdana"/>
                <w:lang w:val="hr-HR"/>
              </w:rPr>
              <w:t>nesvjesan</w:t>
            </w:r>
            <w:proofErr w:type="spellEnd"/>
            <w:r w:rsidRPr="007B2905">
              <w:rPr>
                <w:rFonts w:eastAsia="Verdana"/>
                <w:lang w:val="hr-HR"/>
              </w:rPr>
              <w:t xml:space="preserve"> pomak pacijenta za vrijeme snimanja, koji može dovesti do lažnih </w:t>
            </w:r>
            <w:r w:rsidR="00D553D6" w:rsidRPr="007B2905">
              <w:rPr>
                <w:rFonts w:eastAsia="Verdana"/>
                <w:lang w:val="hr-HR"/>
              </w:rPr>
              <w:t xml:space="preserve">ishoda </w:t>
            </w:r>
            <w:r w:rsidRPr="007B2905">
              <w:rPr>
                <w:rFonts w:eastAsia="Verdana"/>
                <w:lang w:val="hr-HR"/>
              </w:rPr>
              <w:t>mjerenja</w:t>
            </w:r>
            <w:r w:rsidR="007704FA" w:rsidRPr="007B2905">
              <w:rPr>
                <w:rFonts w:eastAsia="Verdana"/>
                <w:lang w:val="hr-HR"/>
              </w:rPr>
              <w:t xml:space="preserve"> te će stoga,</w:t>
            </w:r>
            <w:r w:rsidRPr="007B2905">
              <w:rPr>
                <w:rFonts w:eastAsia="Verdana"/>
                <w:lang w:val="hr-HR"/>
              </w:rPr>
              <w:t xml:space="preserve"> osim same analize arterija, </w:t>
            </w:r>
            <w:r w:rsidR="007704FA" w:rsidRPr="007B2905">
              <w:rPr>
                <w:rFonts w:eastAsia="Verdana"/>
                <w:lang w:val="hr-HR"/>
              </w:rPr>
              <w:t>radiolozi</w:t>
            </w:r>
            <w:r w:rsidRPr="007B2905">
              <w:rPr>
                <w:rFonts w:eastAsia="Verdana"/>
                <w:lang w:val="hr-HR"/>
              </w:rPr>
              <w:t xml:space="preserve"> analizirati i ostale snimljene anatomske strukture kako bi se potvrdila mirnoća </w:t>
            </w:r>
            <w:r w:rsidR="00266203" w:rsidRPr="007B2905">
              <w:rPr>
                <w:rFonts w:eastAsia="Verdana"/>
                <w:lang w:val="hr-HR"/>
              </w:rPr>
              <w:t>pri s</w:t>
            </w:r>
            <w:r w:rsidR="00710F85" w:rsidRPr="007B2905">
              <w:rPr>
                <w:rFonts w:eastAsia="Verdana"/>
                <w:lang w:val="hr-HR"/>
              </w:rPr>
              <w:t>nimanju.</w:t>
            </w:r>
          </w:p>
          <w:p w:rsidR="002B3869" w:rsidRPr="007B2905" w:rsidRDefault="00140B61">
            <w:pPr>
              <w:jc w:val="both"/>
              <w:rPr>
                <w:lang w:val="hr-HR"/>
              </w:rPr>
            </w:pPr>
            <w:r w:rsidRPr="007B2905">
              <w:rPr>
                <w:rFonts w:eastAsia="Verdana"/>
                <w:lang w:val="hr-HR"/>
              </w:rPr>
              <w:t xml:space="preserve">Visina pacijenata također može biti zbunjujući čimbenik. </w:t>
            </w:r>
            <w:r w:rsidR="00440643" w:rsidRPr="007B2905">
              <w:rPr>
                <w:rFonts w:eastAsia="Verdana"/>
                <w:lang w:val="hr-HR"/>
              </w:rPr>
              <w:t>Kako bi se podatci mogli izravno uspoređivati, vrijeme snimanja bit će jednako</w:t>
            </w:r>
            <w:r w:rsidR="00266203" w:rsidRPr="007B2905">
              <w:rPr>
                <w:rFonts w:eastAsia="Verdana"/>
                <w:lang w:val="hr-HR"/>
              </w:rPr>
              <w:t xml:space="preserve"> kod svih ispitanika</w:t>
            </w:r>
            <w:r w:rsidR="00440643" w:rsidRPr="007B2905">
              <w:rPr>
                <w:rFonts w:eastAsia="Verdana"/>
                <w:lang w:val="hr-HR"/>
              </w:rPr>
              <w:t>, a iznosit će 40 sekundi.</w:t>
            </w:r>
          </w:p>
        </w:tc>
      </w:tr>
      <w:tr w:rsidR="002B3869" w:rsidRPr="007B2905">
        <w:trPr>
          <w:trHeight w:val="420"/>
        </w:trPr>
        <w:tc>
          <w:tcPr>
            <w:tcW w:w="9781" w:type="dxa"/>
            <w:gridSpan w:val="3"/>
            <w:vAlign w:val="center"/>
          </w:tcPr>
          <w:p w:rsidR="002B3869" w:rsidRPr="007B2905" w:rsidRDefault="00140B61">
            <w:pPr>
              <w:rPr>
                <w:lang w:val="hr-HR"/>
              </w:rPr>
            </w:pPr>
            <w:r w:rsidRPr="007B2905">
              <w:rPr>
                <w:rFonts w:eastAsia="Verdana"/>
                <w:b/>
                <w:lang w:val="hr-HR"/>
              </w:rPr>
              <w:t>14. Znanstvena vrijednost istraživanja:</w:t>
            </w:r>
          </w:p>
          <w:p w:rsidR="00F32BFD" w:rsidRDefault="00140B61">
            <w:pPr>
              <w:jc w:val="both"/>
              <w:rPr>
                <w:rFonts w:eastAsia="Verdana"/>
                <w:lang w:val="hr-HR"/>
              </w:rPr>
            </w:pPr>
            <w:r w:rsidRPr="007B2905">
              <w:rPr>
                <w:rFonts w:eastAsia="Verdana"/>
                <w:lang w:val="hr-HR"/>
              </w:rPr>
              <w:t xml:space="preserve">14.1. Nutarnja vrijednost: Značajna. Za testiranje hipoteze odabrane su bitne mjere ishoda </w:t>
            </w:r>
            <w:r w:rsidR="00710F85" w:rsidRPr="007B2905">
              <w:rPr>
                <w:rFonts w:eastAsia="Verdana"/>
                <w:lang w:val="hr-HR"/>
              </w:rPr>
              <w:t xml:space="preserve">za koje se smatra </w:t>
            </w:r>
            <w:r w:rsidRPr="007B2905">
              <w:rPr>
                <w:rFonts w:eastAsia="Verdana"/>
                <w:lang w:val="hr-HR"/>
              </w:rPr>
              <w:t xml:space="preserve">da će dati vjerodostojne </w:t>
            </w:r>
            <w:r w:rsidR="00F76A18" w:rsidRPr="007B2905">
              <w:rPr>
                <w:rFonts w:eastAsia="Verdana"/>
                <w:lang w:val="hr-HR"/>
              </w:rPr>
              <w:t>ishod</w:t>
            </w:r>
            <w:r w:rsidR="006769EE" w:rsidRPr="007B2905">
              <w:rPr>
                <w:rFonts w:eastAsia="Verdana"/>
                <w:lang w:val="hr-HR"/>
              </w:rPr>
              <w:t>e</w:t>
            </w:r>
            <w:r w:rsidRPr="007B2905">
              <w:rPr>
                <w:rFonts w:eastAsia="Verdana"/>
                <w:lang w:val="hr-HR"/>
              </w:rPr>
              <w:t>.</w:t>
            </w:r>
          </w:p>
          <w:p w:rsidR="002B3869" w:rsidRPr="007B2905" w:rsidRDefault="00140B61">
            <w:pPr>
              <w:jc w:val="both"/>
              <w:rPr>
                <w:lang w:val="hr-HR"/>
              </w:rPr>
            </w:pPr>
            <w:r w:rsidRPr="007B2905">
              <w:rPr>
                <w:rFonts w:eastAsia="Verdana"/>
                <w:lang w:val="hr-HR"/>
              </w:rPr>
              <w:t xml:space="preserve">14.2. Izvanjska vrijednost: </w:t>
            </w:r>
            <w:r w:rsidR="008B19E8" w:rsidRPr="007B2905">
              <w:rPr>
                <w:rFonts w:eastAsia="Verdana"/>
                <w:lang w:val="hr-HR"/>
              </w:rPr>
              <w:t xml:space="preserve">Ishodi </w:t>
            </w:r>
            <w:r w:rsidRPr="007B2905">
              <w:rPr>
                <w:rFonts w:eastAsia="Verdana"/>
                <w:lang w:val="hr-HR"/>
              </w:rPr>
              <w:t>istraživanja, bez obzira na potvrđivanje hipoteze, omogućit će usmjeravanje ka idealnom protokolu izvođenja</w:t>
            </w:r>
            <w:r w:rsidR="005A0F72" w:rsidRPr="007B2905">
              <w:rPr>
                <w:rFonts w:eastAsia="Verdana"/>
                <w:lang w:val="hr-HR"/>
              </w:rPr>
              <w:t xml:space="preserve"> </w:t>
            </w:r>
            <w:r w:rsidRPr="007B2905">
              <w:rPr>
                <w:rFonts w:eastAsia="Verdana"/>
                <w:lang w:val="hr-HR"/>
              </w:rPr>
              <w:t>angiografije donji</w:t>
            </w:r>
            <w:r w:rsidR="00242501" w:rsidRPr="007B2905">
              <w:rPr>
                <w:rFonts w:eastAsia="Verdana"/>
                <w:lang w:val="hr-HR"/>
              </w:rPr>
              <w:t>h udova</w:t>
            </w:r>
            <w:r w:rsidR="005A0F72" w:rsidRPr="007B2905">
              <w:rPr>
                <w:rFonts w:eastAsia="Verdana"/>
                <w:lang w:val="hr-HR"/>
              </w:rPr>
              <w:t xml:space="preserve"> 64-slojnom računalnom tomografijom.</w:t>
            </w:r>
          </w:p>
        </w:tc>
      </w:tr>
      <w:tr w:rsidR="002B3869" w:rsidRPr="007B2905">
        <w:trPr>
          <w:trHeight w:val="420"/>
        </w:trPr>
        <w:tc>
          <w:tcPr>
            <w:tcW w:w="9781" w:type="dxa"/>
            <w:gridSpan w:val="3"/>
            <w:vAlign w:val="center"/>
          </w:tcPr>
          <w:p w:rsidR="002B3869" w:rsidRPr="007B2905" w:rsidRDefault="00140B61">
            <w:pPr>
              <w:rPr>
                <w:lang w:val="hr-HR"/>
              </w:rPr>
            </w:pPr>
            <w:r w:rsidRPr="007B2905">
              <w:rPr>
                <w:rFonts w:eastAsia="Verdana"/>
                <w:b/>
                <w:lang w:val="hr-HR"/>
              </w:rPr>
              <w:t>15. Etičko odobrenje istraživanja</w:t>
            </w:r>
          </w:p>
          <w:p w:rsidR="002B3869" w:rsidRPr="007B2905" w:rsidRDefault="00140B61">
            <w:pPr>
              <w:jc w:val="both"/>
              <w:rPr>
                <w:lang w:val="hr-HR"/>
              </w:rPr>
            </w:pPr>
            <w:r w:rsidRPr="007B2905">
              <w:rPr>
                <w:rFonts w:eastAsia="Verdana"/>
                <w:lang w:val="hr-HR"/>
              </w:rPr>
              <w:t>Tražit će se odobrenje Etičkog povjerenstva Opće bolnice Varaždin kao potvrd</w:t>
            </w:r>
            <w:r w:rsidR="00D53B83" w:rsidRPr="007B2905">
              <w:rPr>
                <w:rFonts w:eastAsia="Verdana"/>
                <w:lang w:val="hr-HR"/>
              </w:rPr>
              <w:t>u</w:t>
            </w:r>
            <w:r w:rsidRPr="007B2905">
              <w:rPr>
                <w:rFonts w:eastAsia="Verdana"/>
                <w:lang w:val="hr-HR"/>
              </w:rPr>
              <w:t xml:space="preserve"> </w:t>
            </w:r>
            <w:r w:rsidR="005B03B2" w:rsidRPr="007B2905">
              <w:rPr>
                <w:rFonts w:eastAsia="Verdana"/>
                <w:lang w:val="hr-HR"/>
              </w:rPr>
              <w:t xml:space="preserve">kako </w:t>
            </w:r>
            <w:r w:rsidRPr="007B2905">
              <w:rPr>
                <w:rFonts w:eastAsia="Verdana"/>
                <w:lang w:val="hr-HR"/>
              </w:rPr>
              <w:t>je ovo istraživanje bazirano na pravnim, moralnim i etičkim načelima.</w:t>
            </w:r>
          </w:p>
          <w:p w:rsidR="002B3869" w:rsidRPr="007B2905" w:rsidRDefault="00140B61" w:rsidP="00F32BFD">
            <w:pPr>
              <w:jc w:val="both"/>
              <w:rPr>
                <w:lang w:val="hr-HR"/>
              </w:rPr>
            </w:pPr>
            <w:r w:rsidRPr="007B2905">
              <w:rPr>
                <w:rFonts w:eastAsia="Verdana"/>
                <w:lang w:val="hr-HR"/>
              </w:rPr>
              <w:t xml:space="preserve">Ispitanici će potpisati obavijesni/informatizirani pristanak nakon objašnjenja ciljeva i mogućih rizika, a </w:t>
            </w:r>
            <w:r w:rsidR="00F32BFD">
              <w:rPr>
                <w:rFonts w:eastAsia="Verdana"/>
                <w:lang w:val="hr-HR"/>
              </w:rPr>
              <w:t>jamčit</w:t>
            </w:r>
            <w:r w:rsidRPr="007B2905">
              <w:rPr>
                <w:rFonts w:eastAsia="Verdana"/>
                <w:lang w:val="hr-HR"/>
              </w:rPr>
              <w:t xml:space="preserve"> će im se anonimnost.</w:t>
            </w:r>
          </w:p>
        </w:tc>
      </w:tr>
      <w:tr w:rsidR="002B3869" w:rsidRPr="007B2905">
        <w:trPr>
          <w:trHeight w:val="420"/>
        </w:trPr>
        <w:tc>
          <w:tcPr>
            <w:tcW w:w="9781" w:type="dxa"/>
            <w:gridSpan w:val="3"/>
            <w:vAlign w:val="center"/>
          </w:tcPr>
          <w:p w:rsidR="002B3869" w:rsidRPr="007B2905" w:rsidRDefault="00140B61">
            <w:pPr>
              <w:rPr>
                <w:lang w:val="hr-HR"/>
              </w:rPr>
            </w:pPr>
            <w:r w:rsidRPr="007B2905">
              <w:rPr>
                <w:rFonts w:eastAsia="Verdana"/>
                <w:b/>
                <w:lang w:val="hr-HR"/>
              </w:rPr>
              <w:t>16. Financiranje</w:t>
            </w:r>
          </w:p>
          <w:p w:rsidR="002B3869" w:rsidRPr="007B2905" w:rsidRDefault="00140B61" w:rsidP="00F32BFD">
            <w:pPr>
              <w:jc w:val="both"/>
              <w:rPr>
                <w:lang w:val="hr-HR"/>
              </w:rPr>
            </w:pPr>
            <w:r w:rsidRPr="007B2905">
              <w:rPr>
                <w:rFonts w:eastAsia="Verdana"/>
                <w:lang w:val="hr-HR"/>
              </w:rPr>
              <w:t>Istraživanje nije potrebno financirati.</w:t>
            </w:r>
          </w:p>
        </w:tc>
      </w:tr>
      <w:tr w:rsidR="002B3869" w:rsidRPr="007B2905">
        <w:trPr>
          <w:trHeight w:val="420"/>
        </w:trPr>
        <w:tc>
          <w:tcPr>
            <w:tcW w:w="9781" w:type="dxa"/>
            <w:gridSpan w:val="3"/>
            <w:vAlign w:val="center"/>
          </w:tcPr>
          <w:p w:rsidR="002B3869" w:rsidRPr="007B2905" w:rsidRDefault="00140B61">
            <w:pPr>
              <w:rPr>
                <w:lang w:val="hr-HR"/>
              </w:rPr>
            </w:pPr>
            <w:r w:rsidRPr="007B2905">
              <w:rPr>
                <w:rFonts w:eastAsia="Verdana"/>
                <w:b/>
                <w:lang w:val="hr-HR"/>
              </w:rPr>
              <w:t>17. Mogući sukobi interesa</w:t>
            </w:r>
          </w:p>
          <w:p w:rsidR="002B3869" w:rsidRPr="007B2905" w:rsidRDefault="00140B61" w:rsidP="00F32BFD">
            <w:pPr>
              <w:jc w:val="both"/>
              <w:rPr>
                <w:lang w:val="hr-HR"/>
              </w:rPr>
            </w:pPr>
            <w:r w:rsidRPr="007B2905">
              <w:rPr>
                <w:rFonts w:eastAsia="Verdana"/>
                <w:lang w:val="hr-HR"/>
              </w:rPr>
              <w:t>Nema sukoba interesa.</w:t>
            </w:r>
          </w:p>
        </w:tc>
      </w:tr>
      <w:tr w:rsidR="002B3869" w:rsidRPr="007B2905">
        <w:trPr>
          <w:trHeight w:val="420"/>
        </w:trPr>
        <w:tc>
          <w:tcPr>
            <w:tcW w:w="9781" w:type="dxa"/>
            <w:gridSpan w:val="3"/>
            <w:vAlign w:val="center"/>
          </w:tcPr>
          <w:p w:rsidR="002B3869" w:rsidRPr="00F32BFD" w:rsidRDefault="00140B61">
            <w:pPr>
              <w:rPr>
                <w:lang w:val="en-US"/>
              </w:rPr>
            </w:pPr>
            <w:r w:rsidRPr="00F32BFD">
              <w:rPr>
                <w:rFonts w:eastAsia="Verdana"/>
                <w:b/>
                <w:lang w:val="en-US"/>
              </w:rPr>
              <w:t xml:space="preserve">18. </w:t>
            </w:r>
            <w:proofErr w:type="spellStart"/>
            <w:r w:rsidRPr="00F32BFD">
              <w:rPr>
                <w:rFonts w:eastAsia="Verdana"/>
                <w:b/>
                <w:lang w:val="en-US"/>
              </w:rPr>
              <w:t>Literatura</w:t>
            </w:r>
            <w:proofErr w:type="spellEnd"/>
          </w:p>
          <w:p w:rsidR="002B3869" w:rsidRPr="00F32BFD" w:rsidRDefault="00140B61">
            <w:pPr>
              <w:jc w:val="both"/>
              <w:rPr>
                <w:lang w:val="en-US"/>
              </w:rPr>
            </w:pPr>
            <w:r w:rsidRPr="00F32BFD">
              <w:rPr>
                <w:rFonts w:eastAsia="Verdana"/>
                <w:lang w:val="en-US"/>
              </w:rPr>
              <w:t xml:space="preserve">1. Peach G, Griffin M, Jones KG, </w:t>
            </w:r>
            <w:r w:rsidR="007E74DD" w:rsidRPr="00F32BFD">
              <w:rPr>
                <w:rFonts w:eastAsia="Verdana"/>
                <w:lang w:val="en-US"/>
              </w:rPr>
              <w:t xml:space="preserve">Thompson MM, </w:t>
            </w:r>
            <w:proofErr w:type="spellStart"/>
            <w:r w:rsidR="007E74DD" w:rsidRPr="00F32BFD">
              <w:rPr>
                <w:rFonts w:eastAsia="Verdana"/>
                <w:lang w:val="en-US"/>
              </w:rPr>
              <w:t>Hinchliffe</w:t>
            </w:r>
            <w:proofErr w:type="spellEnd"/>
            <w:r w:rsidR="007E74DD" w:rsidRPr="00F32BFD">
              <w:rPr>
                <w:rFonts w:eastAsia="Verdana"/>
                <w:lang w:val="en-US"/>
              </w:rPr>
              <w:t xml:space="preserve"> RJ.</w:t>
            </w:r>
            <w:r w:rsidRPr="00F32BFD">
              <w:rPr>
                <w:rFonts w:eastAsia="Verdana"/>
                <w:lang w:val="en-US"/>
              </w:rPr>
              <w:t xml:space="preserve"> Diagnosis and management of peripheral arterial disease. BMJ. 2012 Aug 14</w:t>
            </w:r>
            <w:proofErr w:type="gramStart"/>
            <w:r w:rsidRPr="00F32BFD">
              <w:rPr>
                <w:rFonts w:eastAsia="Verdana"/>
                <w:lang w:val="en-US"/>
              </w:rPr>
              <w:t>;345:e5208</w:t>
            </w:r>
            <w:proofErr w:type="gramEnd"/>
            <w:r w:rsidRPr="00F32BFD">
              <w:rPr>
                <w:rFonts w:eastAsia="Verdana"/>
                <w:lang w:val="en-US"/>
              </w:rPr>
              <w:t>. doi:10.1136/bmj.e5208.</w:t>
            </w:r>
          </w:p>
          <w:p w:rsidR="002B3869" w:rsidRPr="00F32BFD" w:rsidRDefault="00140B61">
            <w:pPr>
              <w:jc w:val="both"/>
              <w:rPr>
                <w:lang w:val="en-US"/>
              </w:rPr>
            </w:pPr>
            <w:r w:rsidRPr="00F32BFD">
              <w:rPr>
                <w:rFonts w:eastAsia="Verdana"/>
                <w:lang w:val="en-US"/>
              </w:rPr>
              <w:t xml:space="preserve">2. </w:t>
            </w:r>
            <w:proofErr w:type="spellStart"/>
            <w:r w:rsidRPr="00F32BFD">
              <w:rPr>
                <w:rFonts w:eastAsia="Verdana"/>
                <w:lang w:val="en-US"/>
              </w:rPr>
              <w:t>Robless</w:t>
            </w:r>
            <w:proofErr w:type="spellEnd"/>
            <w:r w:rsidRPr="00F32BFD">
              <w:rPr>
                <w:rFonts w:eastAsia="Verdana"/>
                <w:lang w:val="en-US"/>
              </w:rPr>
              <w:t xml:space="preserve"> P, </w:t>
            </w:r>
            <w:proofErr w:type="spellStart"/>
            <w:r w:rsidRPr="00F32BFD">
              <w:rPr>
                <w:rFonts w:eastAsia="Verdana"/>
                <w:lang w:val="en-US"/>
              </w:rPr>
              <w:t>Mikhailidis</w:t>
            </w:r>
            <w:proofErr w:type="spellEnd"/>
            <w:r w:rsidRPr="00F32BFD">
              <w:rPr>
                <w:rFonts w:eastAsia="Verdana"/>
                <w:lang w:val="en-US"/>
              </w:rPr>
              <w:t xml:space="preserve"> DP, </w:t>
            </w:r>
            <w:proofErr w:type="spellStart"/>
            <w:r w:rsidRPr="00F32BFD">
              <w:rPr>
                <w:rFonts w:eastAsia="Verdana"/>
                <w:lang w:val="en-US"/>
              </w:rPr>
              <w:t>Stansby</w:t>
            </w:r>
            <w:proofErr w:type="spellEnd"/>
            <w:r w:rsidRPr="00F32BFD">
              <w:rPr>
                <w:rFonts w:eastAsia="Verdana"/>
                <w:lang w:val="en-US"/>
              </w:rPr>
              <w:t xml:space="preserve"> GP. </w:t>
            </w:r>
            <w:proofErr w:type="spellStart"/>
            <w:r w:rsidRPr="00F32BFD">
              <w:rPr>
                <w:rFonts w:eastAsia="Verdana"/>
                <w:lang w:val="en-US"/>
              </w:rPr>
              <w:t>Cilostazol</w:t>
            </w:r>
            <w:proofErr w:type="spellEnd"/>
            <w:r w:rsidRPr="00F32BFD">
              <w:rPr>
                <w:rFonts w:eastAsia="Verdana"/>
                <w:lang w:val="en-US"/>
              </w:rPr>
              <w:t xml:space="preserve"> for peripheral arterial disease. Cochrane Database </w:t>
            </w:r>
            <w:proofErr w:type="spellStart"/>
            <w:r w:rsidRPr="00F32BFD">
              <w:rPr>
                <w:rFonts w:eastAsia="Verdana"/>
                <w:lang w:val="en-US"/>
              </w:rPr>
              <w:t>Syst</w:t>
            </w:r>
            <w:proofErr w:type="spellEnd"/>
            <w:r w:rsidRPr="00F32BFD">
              <w:rPr>
                <w:rFonts w:eastAsia="Verdana"/>
                <w:lang w:val="en-US"/>
              </w:rPr>
              <w:t xml:space="preserve"> Rev. 2008 Jan </w:t>
            </w:r>
            <w:proofErr w:type="gramStart"/>
            <w:r w:rsidRPr="00F32BFD">
              <w:rPr>
                <w:rFonts w:eastAsia="Verdana"/>
                <w:lang w:val="en-US"/>
              </w:rPr>
              <w:t>23;</w:t>
            </w:r>
            <w:proofErr w:type="gramEnd"/>
            <w:r w:rsidRPr="00F32BFD">
              <w:rPr>
                <w:rFonts w:eastAsia="Verdana"/>
                <w:lang w:val="en-US"/>
              </w:rPr>
              <w:t>(1):CD003748.</w:t>
            </w:r>
          </w:p>
          <w:p w:rsidR="002B3869" w:rsidRPr="00F32BFD" w:rsidRDefault="00140B61">
            <w:pPr>
              <w:jc w:val="both"/>
              <w:rPr>
                <w:lang w:val="en-US"/>
              </w:rPr>
            </w:pPr>
            <w:r w:rsidRPr="00F32BFD">
              <w:rPr>
                <w:rFonts w:eastAsia="Verdana"/>
                <w:lang w:val="en-US"/>
              </w:rPr>
              <w:t xml:space="preserve">3. </w:t>
            </w:r>
            <w:proofErr w:type="spellStart"/>
            <w:r w:rsidRPr="00F32BFD">
              <w:rPr>
                <w:rFonts w:eastAsia="Verdana"/>
                <w:lang w:val="en-US"/>
              </w:rPr>
              <w:t>Banfić</w:t>
            </w:r>
            <w:proofErr w:type="spellEnd"/>
            <w:r w:rsidRPr="00F32BFD">
              <w:rPr>
                <w:rFonts w:eastAsia="Verdana"/>
                <w:lang w:val="en-US"/>
              </w:rPr>
              <w:t xml:space="preserve"> </w:t>
            </w:r>
            <w:proofErr w:type="spellStart"/>
            <w:r w:rsidRPr="00F32BFD">
              <w:rPr>
                <w:rFonts w:eastAsia="Verdana"/>
                <w:lang w:val="en-US"/>
              </w:rPr>
              <w:t>Lj</w:t>
            </w:r>
            <w:proofErr w:type="spellEnd"/>
            <w:r w:rsidRPr="00F32BFD">
              <w:rPr>
                <w:rFonts w:eastAsia="Verdana"/>
                <w:lang w:val="en-US"/>
              </w:rPr>
              <w:t xml:space="preserve">. </w:t>
            </w:r>
            <w:proofErr w:type="spellStart"/>
            <w:r w:rsidRPr="00F32BFD">
              <w:rPr>
                <w:rFonts w:eastAsia="Verdana"/>
                <w:lang w:val="en-US"/>
              </w:rPr>
              <w:t>Periferna</w:t>
            </w:r>
            <w:proofErr w:type="spellEnd"/>
            <w:r w:rsidRPr="00F32BFD">
              <w:rPr>
                <w:rFonts w:eastAsia="Verdana"/>
                <w:lang w:val="en-US"/>
              </w:rPr>
              <w:t xml:space="preserve"> </w:t>
            </w:r>
            <w:proofErr w:type="spellStart"/>
            <w:r w:rsidRPr="00F32BFD">
              <w:rPr>
                <w:rFonts w:eastAsia="Verdana"/>
                <w:lang w:val="en-US"/>
              </w:rPr>
              <w:t>arterijska</w:t>
            </w:r>
            <w:proofErr w:type="spellEnd"/>
            <w:r w:rsidRPr="00F32BFD">
              <w:rPr>
                <w:rFonts w:eastAsia="Verdana"/>
                <w:lang w:val="en-US"/>
              </w:rPr>
              <w:t xml:space="preserve"> </w:t>
            </w:r>
            <w:proofErr w:type="spellStart"/>
            <w:r w:rsidRPr="00F32BFD">
              <w:rPr>
                <w:rFonts w:eastAsia="Verdana"/>
                <w:lang w:val="en-US"/>
              </w:rPr>
              <w:t>bolest</w:t>
            </w:r>
            <w:proofErr w:type="spellEnd"/>
            <w:r w:rsidR="003C2689" w:rsidRPr="00F32BFD">
              <w:rPr>
                <w:rFonts w:eastAsia="Verdana"/>
                <w:lang w:val="en-US"/>
              </w:rPr>
              <w:t xml:space="preserve"> – </w:t>
            </w:r>
            <w:proofErr w:type="spellStart"/>
            <w:r w:rsidRPr="00F32BFD">
              <w:rPr>
                <w:rFonts w:eastAsia="Verdana"/>
                <w:lang w:val="en-US"/>
              </w:rPr>
              <w:t>nedovoljno</w:t>
            </w:r>
            <w:proofErr w:type="spellEnd"/>
            <w:r w:rsidRPr="00F32BFD">
              <w:rPr>
                <w:rFonts w:eastAsia="Verdana"/>
                <w:lang w:val="en-US"/>
              </w:rPr>
              <w:t xml:space="preserve"> </w:t>
            </w:r>
            <w:proofErr w:type="spellStart"/>
            <w:r w:rsidRPr="00F32BFD">
              <w:rPr>
                <w:rFonts w:eastAsia="Verdana"/>
                <w:lang w:val="en-US"/>
              </w:rPr>
              <w:t>prepoznat</w:t>
            </w:r>
            <w:proofErr w:type="spellEnd"/>
            <w:r w:rsidRPr="00F32BFD">
              <w:rPr>
                <w:rFonts w:eastAsia="Verdana"/>
                <w:lang w:val="en-US"/>
              </w:rPr>
              <w:t xml:space="preserve"> </w:t>
            </w:r>
            <w:proofErr w:type="spellStart"/>
            <w:r w:rsidRPr="00F32BFD">
              <w:rPr>
                <w:rFonts w:eastAsia="Verdana"/>
                <w:lang w:val="en-US"/>
              </w:rPr>
              <w:t>čimbenik</w:t>
            </w:r>
            <w:proofErr w:type="spellEnd"/>
            <w:r w:rsidRPr="00F32BFD">
              <w:rPr>
                <w:rFonts w:eastAsia="Verdana"/>
                <w:lang w:val="en-US"/>
              </w:rPr>
              <w:t xml:space="preserve"> </w:t>
            </w:r>
            <w:proofErr w:type="spellStart"/>
            <w:r w:rsidRPr="00F32BFD">
              <w:rPr>
                <w:rFonts w:eastAsia="Verdana"/>
                <w:lang w:val="en-US"/>
              </w:rPr>
              <w:t>ukupnog</w:t>
            </w:r>
            <w:proofErr w:type="spellEnd"/>
            <w:r w:rsidRPr="00F32BFD">
              <w:rPr>
                <w:rFonts w:eastAsia="Verdana"/>
                <w:lang w:val="en-US"/>
              </w:rPr>
              <w:t xml:space="preserve"> </w:t>
            </w:r>
            <w:proofErr w:type="spellStart"/>
            <w:r w:rsidRPr="00F32BFD">
              <w:rPr>
                <w:rFonts w:eastAsia="Verdana"/>
                <w:lang w:val="en-US"/>
              </w:rPr>
              <w:t>kardiovaskularnog</w:t>
            </w:r>
            <w:proofErr w:type="spellEnd"/>
            <w:r w:rsidRPr="00F32BFD">
              <w:rPr>
                <w:rFonts w:eastAsia="Verdana"/>
                <w:lang w:val="en-US"/>
              </w:rPr>
              <w:t xml:space="preserve"> </w:t>
            </w:r>
            <w:proofErr w:type="spellStart"/>
            <w:r w:rsidRPr="00F32BFD">
              <w:rPr>
                <w:rFonts w:eastAsia="Verdana"/>
                <w:lang w:val="en-US"/>
              </w:rPr>
              <w:t>rizika</w:t>
            </w:r>
            <w:proofErr w:type="spellEnd"/>
            <w:r w:rsidRPr="00F32BFD">
              <w:rPr>
                <w:rFonts w:eastAsia="Verdana"/>
                <w:lang w:val="en-US"/>
              </w:rPr>
              <w:t xml:space="preserve">. </w:t>
            </w:r>
            <w:proofErr w:type="spellStart"/>
            <w:r w:rsidRPr="00F32BFD">
              <w:rPr>
                <w:rFonts w:eastAsia="Verdana"/>
                <w:lang w:val="en-US"/>
              </w:rPr>
              <w:t>Medix</w:t>
            </w:r>
            <w:proofErr w:type="spellEnd"/>
            <w:r w:rsidR="00266203" w:rsidRPr="00F32BFD">
              <w:rPr>
                <w:rFonts w:eastAsia="Verdana"/>
                <w:lang w:val="en-US"/>
              </w:rPr>
              <w:t>.</w:t>
            </w:r>
            <w:r w:rsidRPr="00F32BFD">
              <w:rPr>
                <w:rFonts w:eastAsia="Verdana"/>
                <w:lang w:val="en-US"/>
              </w:rPr>
              <w:t xml:space="preserve"> 2010</w:t>
            </w:r>
            <w:proofErr w:type="gramStart"/>
            <w:r w:rsidRPr="00F32BFD">
              <w:rPr>
                <w:rFonts w:eastAsia="Verdana"/>
                <w:lang w:val="en-US"/>
              </w:rPr>
              <w:t>;16</w:t>
            </w:r>
            <w:proofErr w:type="gramEnd"/>
            <w:r w:rsidRPr="00F32BFD">
              <w:rPr>
                <w:rFonts w:eastAsia="Verdana"/>
                <w:lang w:val="en-US"/>
              </w:rPr>
              <w:t>(87/88):133-9</w:t>
            </w:r>
            <w:r w:rsidR="00802E7D" w:rsidRPr="00F32BFD">
              <w:rPr>
                <w:rFonts w:eastAsia="Verdana"/>
                <w:lang w:val="en-US"/>
              </w:rPr>
              <w:t>.</w:t>
            </w:r>
          </w:p>
          <w:p w:rsidR="002B3869" w:rsidRPr="00F32BFD" w:rsidRDefault="00140B61">
            <w:pPr>
              <w:jc w:val="both"/>
              <w:rPr>
                <w:lang w:val="en-US"/>
              </w:rPr>
            </w:pPr>
            <w:r w:rsidRPr="00F32BFD">
              <w:rPr>
                <w:rFonts w:eastAsia="Verdana"/>
                <w:lang w:val="en-US"/>
              </w:rPr>
              <w:t xml:space="preserve">4. </w:t>
            </w:r>
            <w:proofErr w:type="spellStart"/>
            <w:r w:rsidRPr="00F32BFD">
              <w:rPr>
                <w:rFonts w:eastAsia="Verdana"/>
                <w:lang w:val="en-US"/>
              </w:rPr>
              <w:t>Cina</w:t>
            </w:r>
            <w:proofErr w:type="spellEnd"/>
            <w:r w:rsidRPr="00F32BFD">
              <w:rPr>
                <w:rFonts w:eastAsia="Verdana"/>
                <w:lang w:val="en-US"/>
              </w:rPr>
              <w:t xml:space="preserve"> A, Di Stasi C, </w:t>
            </w:r>
            <w:proofErr w:type="spellStart"/>
            <w:r w:rsidRPr="00F32BFD">
              <w:rPr>
                <w:rFonts w:eastAsia="Verdana"/>
                <w:lang w:val="en-US"/>
              </w:rPr>
              <w:t>Semeraro</w:t>
            </w:r>
            <w:proofErr w:type="spellEnd"/>
            <w:r w:rsidRPr="00F32BFD">
              <w:rPr>
                <w:rFonts w:eastAsia="Verdana"/>
                <w:lang w:val="en-US"/>
              </w:rPr>
              <w:t xml:space="preserve"> V, </w:t>
            </w:r>
            <w:proofErr w:type="spellStart"/>
            <w:r w:rsidRPr="00F32BFD">
              <w:rPr>
                <w:rFonts w:eastAsia="Verdana"/>
                <w:lang w:val="en-US"/>
              </w:rPr>
              <w:t>Marano</w:t>
            </w:r>
            <w:proofErr w:type="spellEnd"/>
            <w:r w:rsidRPr="00F32BFD">
              <w:rPr>
                <w:rFonts w:eastAsia="Verdana"/>
                <w:lang w:val="en-US"/>
              </w:rPr>
              <w:t xml:space="preserve"> R, </w:t>
            </w:r>
            <w:proofErr w:type="spellStart"/>
            <w:r w:rsidRPr="00F32BFD">
              <w:rPr>
                <w:rFonts w:eastAsia="Verdana"/>
                <w:lang w:val="en-US"/>
              </w:rPr>
              <w:t>Savino</w:t>
            </w:r>
            <w:proofErr w:type="spellEnd"/>
            <w:r w:rsidRPr="00F32BFD">
              <w:rPr>
                <w:rFonts w:eastAsia="Verdana"/>
                <w:lang w:val="en-US"/>
              </w:rPr>
              <w:t xml:space="preserve"> G, </w:t>
            </w:r>
            <w:proofErr w:type="spellStart"/>
            <w:r w:rsidRPr="00F32BFD">
              <w:rPr>
                <w:rFonts w:eastAsia="Verdana"/>
                <w:lang w:val="en-US"/>
              </w:rPr>
              <w:t>Iezzi</w:t>
            </w:r>
            <w:proofErr w:type="spellEnd"/>
            <w:r w:rsidRPr="00F32BFD">
              <w:rPr>
                <w:rFonts w:eastAsia="Verdana"/>
                <w:lang w:val="en-US"/>
              </w:rPr>
              <w:t xml:space="preserve"> R, </w:t>
            </w:r>
            <w:proofErr w:type="spellStart"/>
            <w:r w:rsidRPr="00F32BFD">
              <w:rPr>
                <w:rFonts w:eastAsia="Verdana"/>
                <w:lang w:val="en-US"/>
              </w:rPr>
              <w:t>Bonomo</w:t>
            </w:r>
            <w:proofErr w:type="spellEnd"/>
            <w:r w:rsidRPr="00F32BFD">
              <w:rPr>
                <w:rFonts w:eastAsia="Verdana"/>
                <w:lang w:val="en-US"/>
              </w:rPr>
              <w:t xml:space="preserve"> L. Comparison of CT and MR angiography in evaluation of peripheral arterial disease before endovascular intervention. Acta </w:t>
            </w:r>
            <w:proofErr w:type="spellStart"/>
            <w:r w:rsidRPr="00F32BFD">
              <w:rPr>
                <w:rFonts w:eastAsia="Verdana"/>
                <w:lang w:val="en-US"/>
              </w:rPr>
              <w:t>Radiologica</w:t>
            </w:r>
            <w:proofErr w:type="spellEnd"/>
            <w:r w:rsidRPr="00F32BFD">
              <w:rPr>
                <w:rFonts w:eastAsia="Verdana"/>
                <w:lang w:val="en-US"/>
              </w:rPr>
              <w:t>. 2015 Jul 15; 0284185115595657</w:t>
            </w:r>
            <w:r w:rsidR="00802E7D" w:rsidRPr="00F32BFD">
              <w:rPr>
                <w:rFonts w:eastAsia="Verdana"/>
                <w:lang w:val="en-US"/>
              </w:rPr>
              <w:t>.</w:t>
            </w:r>
          </w:p>
          <w:p w:rsidR="002B3869" w:rsidRPr="00F32BFD" w:rsidRDefault="00140B61">
            <w:pPr>
              <w:jc w:val="both"/>
              <w:rPr>
                <w:lang w:val="en-US"/>
              </w:rPr>
            </w:pPr>
            <w:r w:rsidRPr="00F32BFD">
              <w:rPr>
                <w:rFonts w:eastAsia="Verdana"/>
                <w:lang w:val="en-US"/>
              </w:rPr>
              <w:t>5. Brenner DJ, Hall EJ. Computed tomography</w:t>
            </w:r>
            <w:r w:rsidR="00B54371" w:rsidRPr="00F32BFD">
              <w:rPr>
                <w:rFonts w:eastAsia="Verdana"/>
                <w:lang w:val="en-US"/>
              </w:rPr>
              <w:t xml:space="preserve"> </w:t>
            </w:r>
            <w:r w:rsidRPr="00F32BFD">
              <w:rPr>
                <w:rFonts w:eastAsia="Verdana"/>
                <w:lang w:val="en-US"/>
              </w:rPr>
              <w:t>—</w:t>
            </w:r>
            <w:r w:rsidR="00B54371" w:rsidRPr="00F32BFD">
              <w:rPr>
                <w:rFonts w:eastAsia="Verdana"/>
                <w:lang w:val="en-US"/>
              </w:rPr>
              <w:t xml:space="preserve"> </w:t>
            </w:r>
            <w:r w:rsidRPr="00F32BFD">
              <w:rPr>
                <w:rFonts w:eastAsia="Verdana"/>
                <w:lang w:val="en-US"/>
              </w:rPr>
              <w:t>an increasing source of radiation exposure. N Engl J Med. 2007</w:t>
            </w:r>
            <w:proofErr w:type="gramStart"/>
            <w:r w:rsidRPr="00F32BFD">
              <w:rPr>
                <w:rFonts w:eastAsia="Verdana"/>
                <w:lang w:val="en-US"/>
              </w:rPr>
              <w:t>;357:2277</w:t>
            </w:r>
            <w:proofErr w:type="gramEnd"/>
            <w:r w:rsidRPr="00F32BFD">
              <w:rPr>
                <w:rFonts w:eastAsia="Verdana"/>
                <w:lang w:val="en-US"/>
              </w:rPr>
              <w:t>–84.</w:t>
            </w:r>
          </w:p>
          <w:p w:rsidR="002B3869" w:rsidRPr="00F32BFD" w:rsidRDefault="00140B61">
            <w:pPr>
              <w:jc w:val="both"/>
              <w:rPr>
                <w:lang w:val="en-US"/>
              </w:rPr>
            </w:pPr>
            <w:r w:rsidRPr="00F32BFD">
              <w:rPr>
                <w:rFonts w:eastAsia="Verdana"/>
                <w:lang w:val="en-US"/>
              </w:rPr>
              <w:t xml:space="preserve">6. </w:t>
            </w:r>
            <w:proofErr w:type="spellStart"/>
            <w:r w:rsidRPr="00F32BFD">
              <w:rPr>
                <w:rFonts w:eastAsia="Verdana"/>
                <w:lang w:val="en-US"/>
              </w:rPr>
              <w:t>Shrimpton</w:t>
            </w:r>
            <w:proofErr w:type="spellEnd"/>
            <w:r w:rsidRPr="00F32BFD">
              <w:rPr>
                <w:rFonts w:eastAsia="Verdana"/>
                <w:lang w:val="en-US"/>
              </w:rPr>
              <w:t xml:space="preserve"> PC, Wall BF. The increasing importance of x-ray computed tomography as a source of medical exposure. </w:t>
            </w:r>
            <w:proofErr w:type="spellStart"/>
            <w:r w:rsidRPr="00F32BFD">
              <w:rPr>
                <w:rFonts w:eastAsia="Verdana"/>
                <w:lang w:val="en-US"/>
              </w:rPr>
              <w:t>Radiat</w:t>
            </w:r>
            <w:proofErr w:type="spellEnd"/>
            <w:r w:rsidRPr="00F32BFD">
              <w:rPr>
                <w:rFonts w:eastAsia="Verdana"/>
                <w:lang w:val="en-US"/>
              </w:rPr>
              <w:t xml:space="preserve"> Prot </w:t>
            </w:r>
            <w:proofErr w:type="spellStart"/>
            <w:r w:rsidRPr="00F32BFD">
              <w:rPr>
                <w:rFonts w:eastAsia="Verdana"/>
                <w:lang w:val="en-US"/>
              </w:rPr>
              <w:t>Dosim</w:t>
            </w:r>
            <w:proofErr w:type="spellEnd"/>
            <w:r w:rsidRPr="00F32BFD">
              <w:rPr>
                <w:rFonts w:eastAsia="Verdana"/>
                <w:lang w:val="en-US"/>
              </w:rPr>
              <w:t>. 1995; 57:413-415.</w:t>
            </w:r>
          </w:p>
          <w:p w:rsidR="002B3869" w:rsidRPr="00F32BFD" w:rsidRDefault="00140B61">
            <w:pPr>
              <w:jc w:val="both"/>
              <w:rPr>
                <w:lang w:val="en-US"/>
              </w:rPr>
            </w:pPr>
            <w:r w:rsidRPr="00F32BFD">
              <w:rPr>
                <w:rFonts w:eastAsia="Verdana"/>
                <w:lang w:val="en-US"/>
              </w:rPr>
              <w:t xml:space="preserve">7. Wade JP, </w:t>
            </w:r>
            <w:proofErr w:type="spellStart"/>
            <w:r w:rsidRPr="00F32BFD">
              <w:rPr>
                <w:rFonts w:eastAsia="Verdana"/>
                <w:lang w:val="en-US"/>
              </w:rPr>
              <w:t>Weyman</w:t>
            </w:r>
            <w:proofErr w:type="spellEnd"/>
            <w:r w:rsidRPr="00F32BFD">
              <w:rPr>
                <w:rFonts w:eastAsia="Verdana"/>
                <w:lang w:val="en-US"/>
              </w:rPr>
              <w:t xml:space="preserve"> JC, Goldstone KE. CT standard protocols are of limited value in assessing actual patient dose. Br J </w:t>
            </w:r>
            <w:proofErr w:type="spellStart"/>
            <w:r w:rsidRPr="00F32BFD">
              <w:rPr>
                <w:rFonts w:eastAsia="Verdana"/>
                <w:lang w:val="en-US"/>
              </w:rPr>
              <w:t>Radiol</w:t>
            </w:r>
            <w:proofErr w:type="spellEnd"/>
            <w:r w:rsidR="00266203" w:rsidRPr="00F32BFD">
              <w:rPr>
                <w:rFonts w:eastAsia="Verdana"/>
                <w:lang w:val="en-US"/>
              </w:rPr>
              <w:t>.</w:t>
            </w:r>
            <w:r w:rsidRPr="00F32BFD">
              <w:rPr>
                <w:rFonts w:eastAsia="Verdana"/>
                <w:lang w:val="en-US"/>
              </w:rPr>
              <w:t xml:space="preserve"> 1997</w:t>
            </w:r>
            <w:proofErr w:type="gramStart"/>
            <w:r w:rsidRPr="00F32BFD">
              <w:rPr>
                <w:rFonts w:eastAsia="Verdana"/>
                <w:lang w:val="en-US"/>
              </w:rPr>
              <w:t>;70:1146</w:t>
            </w:r>
            <w:proofErr w:type="gramEnd"/>
            <w:r w:rsidRPr="00F32BFD">
              <w:rPr>
                <w:rFonts w:eastAsia="Verdana"/>
                <w:lang w:val="en-US"/>
              </w:rPr>
              <w:t>-1151</w:t>
            </w:r>
            <w:r w:rsidR="00802E7D" w:rsidRPr="00F32BFD">
              <w:rPr>
                <w:rFonts w:eastAsia="Verdana"/>
                <w:lang w:val="en-US"/>
              </w:rPr>
              <w:t>.</w:t>
            </w:r>
          </w:p>
          <w:p w:rsidR="002B3869" w:rsidRPr="00F32BFD" w:rsidRDefault="00140B61">
            <w:pPr>
              <w:jc w:val="both"/>
              <w:rPr>
                <w:lang w:val="en-US"/>
              </w:rPr>
            </w:pPr>
            <w:r w:rsidRPr="00F32BFD">
              <w:rPr>
                <w:rFonts w:eastAsia="Verdana"/>
                <w:lang w:val="en-US"/>
              </w:rPr>
              <w:t xml:space="preserve">8. </w:t>
            </w:r>
            <w:proofErr w:type="spellStart"/>
            <w:r w:rsidRPr="00F32BFD">
              <w:rPr>
                <w:rFonts w:eastAsia="Verdana"/>
                <w:lang w:val="en-US"/>
              </w:rPr>
              <w:t>Riederer</w:t>
            </w:r>
            <w:proofErr w:type="spellEnd"/>
            <w:r w:rsidRPr="00F32BFD">
              <w:rPr>
                <w:rFonts w:eastAsia="Verdana"/>
                <w:lang w:val="en-US"/>
              </w:rPr>
              <w:t xml:space="preserve"> SJ, </w:t>
            </w:r>
            <w:proofErr w:type="spellStart"/>
            <w:r w:rsidRPr="00F32BFD">
              <w:rPr>
                <w:rFonts w:eastAsia="Verdana"/>
                <w:lang w:val="en-US"/>
              </w:rPr>
              <w:t>Mistretta</w:t>
            </w:r>
            <w:proofErr w:type="spellEnd"/>
            <w:r w:rsidRPr="00F32BFD">
              <w:rPr>
                <w:rFonts w:eastAsia="Verdana"/>
                <w:lang w:val="en-US"/>
              </w:rPr>
              <w:t xml:space="preserve"> CA. S</w:t>
            </w:r>
            <w:r w:rsidR="00266203" w:rsidRPr="00F32BFD">
              <w:rPr>
                <w:rFonts w:eastAsia="Verdana"/>
                <w:lang w:val="en-US"/>
              </w:rPr>
              <w:t>elective iodine imaging using K-</w:t>
            </w:r>
            <w:r w:rsidR="00802E7D" w:rsidRPr="00F32BFD">
              <w:rPr>
                <w:rFonts w:eastAsia="Verdana"/>
                <w:lang w:val="en-US"/>
              </w:rPr>
              <w:t>edge energies in computerized x-</w:t>
            </w:r>
            <w:r w:rsidRPr="00F32BFD">
              <w:rPr>
                <w:rFonts w:eastAsia="Verdana"/>
                <w:lang w:val="en-US"/>
              </w:rPr>
              <w:t>ray tomography. Medical physics 4.6. 1977</w:t>
            </w:r>
            <w:proofErr w:type="gramStart"/>
            <w:r w:rsidRPr="00F32BFD">
              <w:rPr>
                <w:rFonts w:eastAsia="Verdana"/>
                <w:lang w:val="en-US"/>
              </w:rPr>
              <w:t>;474</w:t>
            </w:r>
            <w:proofErr w:type="gramEnd"/>
            <w:r w:rsidRPr="00F32BFD">
              <w:rPr>
                <w:rFonts w:eastAsia="Verdana"/>
                <w:lang w:val="en-US"/>
              </w:rPr>
              <w:t>-481.</w:t>
            </w:r>
          </w:p>
          <w:p w:rsidR="002B3869" w:rsidRPr="00F32BFD" w:rsidRDefault="00802E7D">
            <w:pPr>
              <w:jc w:val="both"/>
              <w:rPr>
                <w:lang w:val="en-US"/>
              </w:rPr>
            </w:pPr>
            <w:r w:rsidRPr="00F32BFD">
              <w:rPr>
                <w:rFonts w:eastAsia="Verdana"/>
                <w:lang w:val="en-US"/>
              </w:rPr>
              <w:t xml:space="preserve">9. </w:t>
            </w:r>
            <w:proofErr w:type="spellStart"/>
            <w:r w:rsidRPr="00F32BFD">
              <w:rPr>
                <w:rFonts w:eastAsia="Verdana"/>
                <w:lang w:val="en-US"/>
              </w:rPr>
              <w:t>Fazel</w:t>
            </w:r>
            <w:proofErr w:type="spellEnd"/>
            <w:r w:rsidRPr="00F32BFD">
              <w:rPr>
                <w:rFonts w:eastAsia="Verdana"/>
                <w:lang w:val="en-US"/>
              </w:rPr>
              <w:t xml:space="preserve"> R, </w:t>
            </w:r>
            <w:proofErr w:type="spellStart"/>
            <w:r w:rsidR="00140B61" w:rsidRPr="00F32BFD">
              <w:rPr>
                <w:rFonts w:eastAsia="Verdana"/>
                <w:lang w:val="en-US"/>
              </w:rPr>
              <w:t>Krumholz</w:t>
            </w:r>
            <w:proofErr w:type="spellEnd"/>
            <w:r w:rsidR="00140B61" w:rsidRPr="00F32BFD">
              <w:rPr>
                <w:rFonts w:eastAsia="Verdana"/>
                <w:lang w:val="en-US"/>
              </w:rPr>
              <w:t xml:space="preserve"> HM</w:t>
            </w:r>
            <w:r w:rsidRPr="00F32BFD">
              <w:rPr>
                <w:rFonts w:eastAsia="Verdana"/>
                <w:lang w:val="en-US"/>
              </w:rPr>
              <w:t>,</w:t>
            </w:r>
            <w:r w:rsidR="00140B61" w:rsidRPr="00F32BFD">
              <w:rPr>
                <w:rFonts w:eastAsia="Verdana"/>
                <w:lang w:val="en-US"/>
              </w:rPr>
              <w:t xml:space="preserve"> Wang Y</w:t>
            </w:r>
            <w:r w:rsidRPr="00F32BFD">
              <w:rPr>
                <w:rFonts w:eastAsia="Verdana"/>
                <w:lang w:val="en-US"/>
              </w:rPr>
              <w:t>, Ross JS, Chen J, Ting HH, i sur.</w:t>
            </w:r>
            <w:r w:rsidR="00140B61" w:rsidRPr="00F32BFD">
              <w:rPr>
                <w:rFonts w:eastAsia="Verdana"/>
                <w:lang w:val="en-US"/>
              </w:rPr>
              <w:t xml:space="preserve"> Exposure to low-dose ionizing radiation from medical imaging procedures. New England Journal of Medicine. 2009</w:t>
            </w:r>
            <w:proofErr w:type="gramStart"/>
            <w:r w:rsidR="00140B61" w:rsidRPr="00F32BFD">
              <w:rPr>
                <w:rFonts w:eastAsia="Verdana"/>
                <w:lang w:val="en-US"/>
              </w:rPr>
              <w:t>;361</w:t>
            </w:r>
            <w:proofErr w:type="gramEnd"/>
            <w:r w:rsidR="00140B61" w:rsidRPr="00F32BFD">
              <w:rPr>
                <w:rFonts w:eastAsia="Verdana"/>
                <w:lang w:val="en-US"/>
              </w:rPr>
              <w:t>(9),849-857.</w:t>
            </w:r>
          </w:p>
          <w:p w:rsidR="002B3869" w:rsidRPr="00F32BFD" w:rsidRDefault="00140B61">
            <w:pPr>
              <w:jc w:val="both"/>
              <w:rPr>
                <w:rFonts w:eastAsia="Verdana"/>
                <w:lang w:val="en-US"/>
              </w:rPr>
            </w:pPr>
            <w:r w:rsidRPr="00F32BFD">
              <w:rPr>
                <w:rFonts w:eastAsia="Verdana"/>
                <w:lang w:val="en-US"/>
              </w:rPr>
              <w:t xml:space="preserve">10. </w:t>
            </w:r>
            <w:proofErr w:type="spellStart"/>
            <w:r w:rsidR="00802E7D" w:rsidRPr="00F32BFD">
              <w:rPr>
                <w:rFonts w:eastAsia="Verdana"/>
                <w:lang w:val="en-US"/>
              </w:rPr>
              <w:t>Wintermark</w:t>
            </w:r>
            <w:proofErr w:type="spellEnd"/>
            <w:r w:rsidR="00802E7D" w:rsidRPr="00F32BFD">
              <w:rPr>
                <w:rFonts w:eastAsia="Verdana"/>
                <w:lang w:val="en-US"/>
              </w:rPr>
              <w:t xml:space="preserve"> M, </w:t>
            </w:r>
            <w:proofErr w:type="spellStart"/>
            <w:r w:rsidR="00802E7D" w:rsidRPr="00F32BFD">
              <w:rPr>
                <w:rFonts w:eastAsia="Verdana"/>
                <w:lang w:val="en-US"/>
              </w:rPr>
              <w:t>Maeder</w:t>
            </w:r>
            <w:proofErr w:type="spellEnd"/>
            <w:r w:rsidR="00802E7D" w:rsidRPr="00F32BFD">
              <w:rPr>
                <w:rFonts w:eastAsia="Verdana"/>
                <w:lang w:val="en-US"/>
              </w:rPr>
              <w:t xml:space="preserve"> P, Verdun FR, </w:t>
            </w:r>
            <w:proofErr w:type="spellStart"/>
            <w:r w:rsidR="00802E7D" w:rsidRPr="00F32BFD">
              <w:rPr>
                <w:rFonts w:eastAsia="Verdana"/>
                <w:lang w:val="en-US"/>
              </w:rPr>
              <w:t>Thiran</w:t>
            </w:r>
            <w:proofErr w:type="spellEnd"/>
            <w:r w:rsidR="00802E7D" w:rsidRPr="00F32BFD">
              <w:rPr>
                <w:rFonts w:eastAsia="Verdana"/>
                <w:lang w:val="en-US"/>
              </w:rPr>
              <w:t xml:space="preserve"> JP, Valley JF, </w:t>
            </w:r>
            <w:proofErr w:type="spellStart"/>
            <w:r w:rsidR="00802E7D" w:rsidRPr="00F32BFD">
              <w:rPr>
                <w:rFonts w:eastAsia="Verdana"/>
                <w:lang w:val="en-US"/>
              </w:rPr>
              <w:t>Schnyder</w:t>
            </w:r>
            <w:proofErr w:type="spellEnd"/>
            <w:r w:rsidR="00802E7D" w:rsidRPr="00F32BFD">
              <w:rPr>
                <w:rFonts w:eastAsia="Verdana"/>
                <w:lang w:val="en-US"/>
              </w:rPr>
              <w:t xml:space="preserve"> P, </w:t>
            </w:r>
            <w:proofErr w:type="spellStart"/>
            <w:r w:rsidR="00802E7D" w:rsidRPr="00F32BFD">
              <w:rPr>
                <w:rFonts w:eastAsia="Verdana"/>
                <w:lang w:val="en-US"/>
              </w:rPr>
              <w:t>Meuli</w:t>
            </w:r>
            <w:proofErr w:type="spellEnd"/>
            <w:r w:rsidR="00802E7D" w:rsidRPr="00F32BFD">
              <w:rPr>
                <w:rFonts w:eastAsia="Verdana"/>
                <w:lang w:val="en-US"/>
              </w:rPr>
              <w:t xml:space="preserve"> R. </w:t>
            </w:r>
            <w:r w:rsidRPr="00F32BFD">
              <w:rPr>
                <w:rFonts w:eastAsia="Verdana"/>
                <w:lang w:val="en-US"/>
              </w:rPr>
              <w:t xml:space="preserve">Using 80 </w:t>
            </w:r>
            <w:proofErr w:type="spellStart"/>
            <w:r w:rsidRPr="00F32BFD">
              <w:rPr>
                <w:rFonts w:eastAsia="Verdana"/>
                <w:lang w:val="en-US"/>
              </w:rPr>
              <w:t>kVp</w:t>
            </w:r>
            <w:proofErr w:type="spellEnd"/>
            <w:r w:rsidRPr="00F32BFD">
              <w:rPr>
                <w:rFonts w:eastAsia="Verdana"/>
                <w:lang w:val="en-US"/>
              </w:rPr>
              <w:t xml:space="preserve"> versus 120 </w:t>
            </w:r>
            <w:proofErr w:type="spellStart"/>
            <w:r w:rsidRPr="00F32BFD">
              <w:rPr>
                <w:rFonts w:eastAsia="Verdana"/>
                <w:lang w:val="en-US"/>
              </w:rPr>
              <w:t>kVp</w:t>
            </w:r>
            <w:proofErr w:type="spellEnd"/>
            <w:r w:rsidRPr="00F32BFD">
              <w:rPr>
                <w:rFonts w:eastAsia="Verdana"/>
                <w:lang w:val="en-US"/>
              </w:rPr>
              <w:t xml:space="preserve"> in perfusion CT measurement of regional cerebral blood flow. American journal of </w:t>
            </w:r>
            <w:proofErr w:type="spellStart"/>
            <w:r w:rsidRPr="00F32BFD">
              <w:rPr>
                <w:rFonts w:eastAsia="Verdana"/>
                <w:lang w:val="en-US"/>
              </w:rPr>
              <w:t>neuroradiology</w:t>
            </w:r>
            <w:proofErr w:type="spellEnd"/>
            <w:r w:rsidRPr="00F32BFD">
              <w:rPr>
                <w:rFonts w:eastAsia="Verdana"/>
                <w:lang w:val="en-US"/>
              </w:rPr>
              <w:t>. 2000</w:t>
            </w:r>
            <w:proofErr w:type="gramStart"/>
            <w:r w:rsidRPr="00F32BFD">
              <w:rPr>
                <w:rFonts w:eastAsia="Verdana"/>
                <w:lang w:val="en-US"/>
              </w:rPr>
              <w:t>;21.10:1881</w:t>
            </w:r>
            <w:proofErr w:type="gramEnd"/>
            <w:r w:rsidRPr="00F32BFD">
              <w:rPr>
                <w:rFonts w:eastAsia="Verdana"/>
                <w:lang w:val="en-US"/>
              </w:rPr>
              <w:t>-1884.</w:t>
            </w:r>
          </w:p>
        </w:tc>
      </w:tr>
      <w:tr w:rsidR="002B3869" w:rsidRPr="007B2905">
        <w:trPr>
          <w:trHeight w:val="420"/>
        </w:trPr>
        <w:tc>
          <w:tcPr>
            <w:tcW w:w="9781" w:type="dxa"/>
            <w:gridSpan w:val="3"/>
            <w:vAlign w:val="center"/>
          </w:tcPr>
          <w:p w:rsidR="002B3869" w:rsidRPr="00F32BFD" w:rsidRDefault="00140B61">
            <w:pPr>
              <w:rPr>
                <w:lang w:val="en-US"/>
              </w:rPr>
            </w:pPr>
            <w:r w:rsidRPr="00F32BFD">
              <w:rPr>
                <w:rFonts w:eastAsia="Verdana"/>
                <w:b/>
                <w:lang w:val="en-US"/>
              </w:rPr>
              <w:t xml:space="preserve">19. Plan </w:t>
            </w:r>
            <w:proofErr w:type="spellStart"/>
            <w:r w:rsidRPr="00F32BFD">
              <w:rPr>
                <w:rFonts w:eastAsia="Verdana"/>
                <w:b/>
                <w:lang w:val="en-US"/>
              </w:rPr>
              <w:t>publiciranja</w:t>
            </w:r>
            <w:proofErr w:type="spellEnd"/>
          </w:p>
          <w:p w:rsidR="00242501" w:rsidRPr="00B43D1F" w:rsidRDefault="00140B61">
            <w:pPr>
              <w:jc w:val="both"/>
              <w:rPr>
                <w:rFonts w:eastAsia="Verdana"/>
                <w:lang w:val="hr-HR"/>
              </w:rPr>
            </w:pPr>
            <w:r w:rsidRPr="00B43D1F">
              <w:rPr>
                <w:rFonts w:eastAsia="Verdana"/>
                <w:lang w:val="hr-HR"/>
              </w:rPr>
              <w:t>Istraživanje želimo objaviti u časopisu BMC MEDICAL IMAGING (</w:t>
            </w:r>
            <w:proofErr w:type="spellStart"/>
            <w:r w:rsidRPr="00B43D1F">
              <w:rPr>
                <w:rFonts w:eastAsia="Verdana"/>
                <w:lang w:val="hr-HR"/>
              </w:rPr>
              <w:t>by</w:t>
            </w:r>
            <w:proofErr w:type="spellEnd"/>
            <w:r w:rsidRPr="00B43D1F">
              <w:rPr>
                <w:rFonts w:eastAsia="Verdana"/>
                <w:lang w:val="hr-HR"/>
              </w:rPr>
              <w:t xml:space="preserve"> </w:t>
            </w:r>
            <w:proofErr w:type="spellStart"/>
            <w:r w:rsidRPr="00B43D1F">
              <w:rPr>
                <w:rFonts w:eastAsia="Verdana"/>
                <w:lang w:val="hr-HR"/>
              </w:rPr>
              <w:t>BioMed</w:t>
            </w:r>
            <w:proofErr w:type="spellEnd"/>
            <w:r w:rsidRPr="00B43D1F">
              <w:rPr>
                <w:rFonts w:eastAsia="Verdana"/>
                <w:lang w:val="hr-HR"/>
              </w:rPr>
              <w:t xml:space="preserve"> Central </w:t>
            </w:r>
            <w:proofErr w:type="spellStart"/>
            <w:r w:rsidRPr="00B43D1F">
              <w:rPr>
                <w:rFonts w:eastAsia="Verdana"/>
                <w:lang w:val="hr-HR"/>
              </w:rPr>
              <w:t>Ltd</w:t>
            </w:r>
            <w:proofErr w:type="spellEnd"/>
            <w:r w:rsidRPr="00B43D1F">
              <w:rPr>
                <w:rFonts w:eastAsia="Verdana"/>
                <w:lang w:val="hr-HR"/>
              </w:rPr>
              <w:t xml:space="preserve">.), </w:t>
            </w:r>
            <w:r w:rsidR="004747ED" w:rsidRPr="00B43D1F">
              <w:rPr>
                <w:rFonts w:eastAsia="Verdana"/>
                <w:lang w:val="hr-HR"/>
              </w:rPr>
              <w:t xml:space="preserve">čimbenik odjeka </w:t>
            </w:r>
            <w:r w:rsidRPr="00B43D1F">
              <w:rPr>
                <w:rFonts w:eastAsia="Verdana"/>
                <w:lang w:val="hr-HR"/>
              </w:rPr>
              <w:t>1.31.</w:t>
            </w:r>
          </w:p>
          <w:p w:rsidR="002B3869" w:rsidRPr="00F32BFD" w:rsidRDefault="00140B61" w:rsidP="00F32BFD">
            <w:pPr>
              <w:jc w:val="both"/>
              <w:rPr>
                <w:rFonts w:eastAsia="Verdana"/>
                <w:lang w:val="en-US"/>
              </w:rPr>
            </w:pPr>
            <w:r w:rsidRPr="00B43D1F">
              <w:rPr>
                <w:rFonts w:eastAsia="Verdana"/>
                <w:lang w:val="hr-HR"/>
              </w:rPr>
              <w:t>Mrežna stranica s uputama za autore na dan 1.</w:t>
            </w:r>
            <w:r w:rsidR="000913CB" w:rsidRPr="00B43D1F">
              <w:rPr>
                <w:rFonts w:eastAsia="Verdana"/>
                <w:lang w:val="hr-HR"/>
              </w:rPr>
              <w:t xml:space="preserve"> rujna </w:t>
            </w:r>
            <w:r w:rsidRPr="00B43D1F">
              <w:rPr>
                <w:rFonts w:eastAsia="Verdana"/>
                <w:lang w:val="hr-HR"/>
              </w:rPr>
              <w:t>2015</w:t>
            </w:r>
            <w:r w:rsidR="00CF2C5A" w:rsidRPr="00B43D1F">
              <w:rPr>
                <w:rFonts w:eastAsia="Verdana"/>
                <w:lang w:val="hr-HR"/>
              </w:rPr>
              <w:t>.</w:t>
            </w:r>
            <w:r w:rsidR="00B43D1F" w:rsidRPr="00B43D1F">
              <w:rPr>
                <w:rFonts w:eastAsia="Verdana"/>
                <w:lang w:val="hr-HR"/>
              </w:rPr>
              <w:t xml:space="preserve"> nalazi se na</w:t>
            </w:r>
            <w:r w:rsidRPr="00B43D1F">
              <w:rPr>
                <w:rFonts w:eastAsia="Verdana"/>
                <w:lang w:val="hr-HR"/>
              </w:rPr>
              <w:t>:</w:t>
            </w:r>
            <w:r w:rsidRPr="00F32BFD">
              <w:rPr>
                <w:rFonts w:eastAsia="Verdana"/>
                <w:lang w:val="en-US"/>
              </w:rPr>
              <w:t xml:space="preserve"> </w:t>
            </w:r>
            <w:hyperlink r:id="rId8" w:history="1">
              <w:r w:rsidR="00F32BFD" w:rsidRPr="00482807">
                <w:rPr>
                  <w:rStyle w:val="Hyperlink"/>
                  <w:rFonts w:eastAsia="Verdana"/>
                  <w:lang w:val="en-US"/>
                </w:rPr>
                <w:t>http://www.biomedcentral.com/bmcmedimaging/authors/instructions</w:t>
              </w:r>
            </w:hyperlink>
            <w:r w:rsidR="00F32BFD">
              <w:rPr>
                <w:rFonts w:eastAsia="Verdana"/>
                <w:lang w:val="en-US"/>
              </w:rPr>
              <w:t>.</w:t>
            </w:r>
          </w:p>
        </w:tc>
      </w:tr>
      <w:tr w:rsidR="002B3869" w:rsidRPr="007B2905">
        <w:trPr>
          <w:trHeight w:val="420"/>
        </w:trPr>
        <w:tc>
          <w:tcPr>
            <w:tcW w:w="9781" w:type="dxa"/>
            <w:gridSpan w:val="3"/>
            <w:vAlign w:val="center"/>
          </w:tcPr>
          <w:p w:rsidR="002B3869" w:rsidRPr="007B2905" w:rsidRDefault="00140B61">
            <w:pPr>
              <w:rPr>
                <w:lang w:val="hr-HR"/>
              </w:rPr>
            </w:pPr>
            <w:r w:rsidRPr="007B2905">
              <w:rPr>
                <w:rFonts w:eastAsia="Verdana"/>
                <w:b/>
                <w:lang w:val="hr-HR"/>
              </w:rPr>
              <w:lastRenderedPageBreak/>
              <w:t>20. Predviđeni autori</w:t>
            </w:r>
          </w:p>
          <w:p w:rsidR="00426D74" w:rsidRPr="007B2905" w:rsidRDefault="00426D74" w:rsidP="00426D74">
            <w:pPr>
              <w:jc w:val="both"/>
              <w:rPr>
                <w:rFonts w:eastAsia="Verdana"/>
                <w:lang w:val="hr-HR"/>
              </w:rPr>
            </w:pPr>
            <w:r w:rsidRPr="007B2905">
              <w:rPr>
                <w:rFonts w:eastAsia="Verdana"/>
                <w:lang w:val="hr-HR"/>
              </w:rPr>
              <w:t xml:space="preserve">Poštovat ćemo kriterije autorstva </w:t>
            </w:r>
            <w:r w:rsidRPr="007B2905">
              <w:rPr>
                <w:rFonts w:eastAsia="Verdana"/>
                <w:i/>
                <w:lang w:val="hr-HR"/>
              </w:rPr>
              <w:t xml:space="preserve">International </w:t>
            </w:r>
            <w:proofErr w:type="spellStart"/>
            <w:r w:rsidRPr="007B2905">
              <w:rPr>
                <w:rFonts w:eastAsia="Verdana"/>
                <w:i/>
                <w:lang w:val="hr-HR"/>
              </w:rPr>
              <w:t>Committee</w:t>
            </w:r>
            <w:proofErr w:type="spellEnd"/>
            <w:r w:rsidRPr="007B2905">
              <w:rPr>
                <w:rFonts w:eastAsia="Verdana"/>
                <w:i/>
                <w:lang w:val="hr-HR"/>
              </w:rPr>
              <w:t xml:space="preserve"> </w:t>
            </w:r>
            <w:proofErr w:type="spellStart"/>
            <w:r w:rsidRPr="007B2905">
              <w:rPr>
                <w:rFonts w:eastAsia="Verdana"/>
                <w:i/>
                <w:lang w:val="hr-HR"/>
              </w:rPr>
              <w:t>Journals</w:t>
            </w:r>
            <w:proofErr w:type="spellEnd"/>
            <w:r w:rsidRPr="007B2905">
              <w:rPr>
                <w:rFonts w:eastAsia="Verdana"/>
                <w:i/>
                <w:lang w:val="hr-HR"/>
              </w:rPr>
              <w:t xml:space="preserve"> Editors</w:t>
            </w:r>
            <w:r w:rsidRPr="007B2905">
              <w:rPr>
                <w:rFonts w:eastAsia="Verdana"/>
                <w:lang w:val="hr-HR"/>
              </w:rPr>
              <w:t>.</w:t>
            </w:r>
          </w:p>
          <w:p w:rsidR="00802E7D" w:rsidRPr="007B2905" w:rsidRDefault="00140B61">
            <w:pPr>
              <w:jc w:val="both"/>
              <w:rPr>
                <w:rFonts w:eastAsia="Verdana"/>
                <w:lang w:val="hr-HR"/>
              </w:rPr>
            </w:pPr>
            <w:r w:rsidRPr="007B2905">
              <w:rPr>
                <w:rFonts w:eastAsia="Verdana"/>
                <w:lang w:val="hr-HR"/>
              </w:rPr>
              <w:t xml:space="preserve">20.1. </w:t>
            </w:r>
            <w:r w:rsidR="00802E7D" w:rsidRPr="007B2905">
              <w:rPr>
                <w:rFonts w:eastAsia="Verdana"/>
                <w:lang w:val="hr-HR"/>
              </w:rPr>
              <w:t xml:space="preserve">Prvi autor u članku biti ću ja, jer sam </w:t>
            </w:r>
            <w:r w:rsidR="008E1DB4" w:rsidRPr="007B2905">
              <w:rPr>
                <w:rFonts w:eastAsia="Verdana"/>
                <w:lang w:val="hr-HR"/>
              </w:rPr>
              <w:t xml:space="preserve">dao ideju za provedbu istraživanja, </w:t>
            </w:r>
            <w:r w:rsidR="00802E7D" w:rsidRPr="007B2905">
              <w:rPr>
                <w:rFonts w:eastAsia="Verdana"/>
                <w:lang w:val="hr-HR"/>
              </w:rPr>
              <w:t>sudjelovao u definiciji zamisli istraživanja, prikuplja</w:t>
            </w:r>
            <w:r w:rsidR="008E1DB4" w:rsidRPr="007B2905">
              <w:rPr>
                <w:rFonts w:eastAsia="Verdana"/>
                <w:lang w:val="hr-HR"/>
              </w:rPr>
              <w:t>t ću</w:t>
            </w:r>
            <w:r w:rsidR="000D55B7">
              <w:rPr>
                <w:rFonts w:eastAsia="Verdana"/>
                <w:lang w:val="hr-HR"/>
              </w:rPr>
              <w:t xml:space="preserve"> podat</w:t>
            </w:r>
            <w:r w:rsidR="00802E7D" w:rsidRPr="007B2905">
              <w:rPr>
                <w:rFonts w:eastAsia="Verdana"/>
                <w:lang w:val="hr-HR"/>
              </w:rPr>
              <w:t>k</w:t>
            </w:r>
            <w:r w:rsidR="008E1DB4" w:rsidRPr="007B2905">
              <w:rPr>
                <w:rFonts w:eastAsia="Verdana"/>
                <w:lang w:val="hr-HR"/>
              </w:rPr>
              <w:t>e</w:t>
            </w:r>
            <w:r w:rsidR="00802E7D" w:rsidRPr="007B2905">
              <w:rPr>
                <w:rFonts w:eastAsia="Verdana"/>
                <w:lang w:val="hr-HR"/>
              </w:rPr>
              <w:t xml:space="preserve">, </w:t>
            </w:r>
            <w:r w:rsidR="008E1DB4" w:rsidRPr="007B2905">
              <w:rPr>
                <w:rFonts w:eastAsia="Verdana"/>
                <w:lang w:val="hr-HR"/>
              </w:rPr>
              <w:t xml:space="preserve">sudjelovati u </w:t>
            </w:r>
            <w:r w:rsidR="00802E7D" w:rsidRPr="007B2905">
              <w:rPr>
                <w:rFonts w:eastAsia="Verdana"/>
                <w:lang w:val="hr-HR"/>
              </w:rPr>
              <w:t>obrad</w:t>
            </w:r>
            <w:r w:rsidR="008E1DB4" w:rsidRPr="007B2905">
              <w:rPr>
                <w:rFonts w:eastAsia="Verdana"/>
                <w:lang w:val="hr-HR"/>
              </w:rPr>
              <w:t>i</w:t>
            </w:r>
            <w:r w:rsidR="00802E7D" w:rsidRPr="007B2905">
              <w:rPr>
                <w:rFonts w:eastAsia="Verdana"/>
                <w:lang w:val="hr-HR"/>
              </w:rPr>
              <w:t xml:space="preserve"> i analiz</w:t>
            </w:r>
            <w:r w:rsidR="008E1DB4" w:rsidRPr="007B2905">
              <w:rPr>
                <w:rFonts w:eastAsia="Verdana"/>
                <w:lang w:val="hr-HR"/>
              </w:rPr>
              <w:t>i</w:t>
            </w:r>
            <w:r w:rsidR="00802E7D" w:rsidRPr="007B2905">
              <w:rPr>
                <w:rFonts w:eastAsia="Verdana"/>
                <w:lang w:val="hr-HR"/>
              </w:rPr>
              <w:t xml:space="preserve"> podataka, napisati prvu inačicu članka i odobriti zadnju inačicu članka prije slanja u tisak.</w:t>
            </w:r>
          </w:p>
          <w:p w:rsidR="00802E7D" w:rsidRPr="007B2905" w:rsidRDefault="00802E7D">
            <w:pPr>
              <w:jc w:val="both"/>
              <w:rPr>
                <w:rFonts w:eastAsia="Verdana"/>
                <w:lang w:val="hr-HR"/>
              </w:rPr>
            </w:pPr>
            <w:r w:rsidRPr="007B2905">
              <w:rPr>
                <w:rFonts w:eastAsia="Verdana"/>
                <w:lang w:val="hr-HR"/>
              </w:rPr>
              <w:t xml:space="preserve">20.2. Kao drugog autora navodim svog mentora doc. </w:t>
            </w:r>
            <w:r w:rsidR="008E1DB4" w:rsidRPr="007B2905">
              <w:rPr>
                <w:rFonts w:eastAsia="Verdana"/>
                <w:lang w:val="hr-HR"/>
              </w:rPr>
              <w:t>d</w:t>
            </w:r>
            <w:r w:rsidRPr="007B2905">
              <w:rPr>
                <w:rFonts w:eastAsia="Verdana"/>
                <w:lang w:val="hr-HR"/>
              </w:rPr>
              <w:t xml:space="preserve">r. sc. </w:t>
            </w:r>
            <w:r w:rsidR="000D55B7">
              <w:rPr>
                <w:rFonts w:eastAsia="Verdana"/>
                <w:lang w:val="hr-HR"/>
              </w:rPr>
              <w:t>XY</w:t>
            </w:r>
            <w:r w:rsidRPr="007B2905">
              <w:rPr>
                <w:rFonts w:eastAsia="Verdana"/>
                <w:lang w:val="hr-HR"/>
              </w:rPr>
              <w:t xml:space="preserve">, dr. med. koji </w:t>
            </w:r>
            <w:r w:rsidR="008E1DB4" w:rsidRPr="007B2905">
              <w:rPr>
                <w:rFonts w:eastAsia="Verdana"/>
                <w:lang w:val="hr-HR"/>
              </w:rPr>
              <w:t>će sudjelovati</w:t>
            </w:r>
            <w:r w:rsidRPr="007B2905">
              <w:rPr>
                <w:rFonts w:eastAsia="Verdana"/>
                <w:lang w:val="hr-HR"/>
              </w:rPr>
              <w:t xml:space="preserve"> u analizi podataka, u matematičkom i geometrijskom izračunu, te pomoći u statističkim izračunima u procjeni relevantnosti konačnog rezultata</w:t>
            </w:r>
            <w:r w:rsidR="008E1DB4" w:rsidRPr="007B2905">
              <w:rPr>
                <w:rFonts w:eastAsia="Verdana"/>
                <w:lang w:val="hr-HR"/>
              </w:rPr>
              <w:t>.</w:t>
            </w:r>
            <w:r w:rsidRPr="007B2905">
              <w:rPr>
                <w:rFonts w:eastAsia="Verdana"/>
                <w:lang w:val="hr-HR"/>
              </w:rPr>
              <w:t xml:space="preserve"> Dovršiti će i dopuniti moju prvu inačicu članka i odobriti zadnju inačicu članka koju ćemo poslati u časopis.</w:t>
            </w:r>
          </w:p>
          <w:p w:rsidR="008E1DB4" w:rsidRPr="007B2905" w:rsidRDefault="008E1DB4" w:rsidP="00426D74">
            <w:pPr>
              <w:jc w:val="both"/>
              <w:rPr>
                <w:rFonts w:eastAsia="Verdana"/>
                <w:lang w:val="hr-HR"/>
              </w:rPr>
            </w:pPr>
            <w:r w:rsidRPr="007B2905">
              <w:rPr>
                <w:rFonts w:eastAsia="Verdana"/>
                <w:lang w:val="hr-HR"/>
              </w:rPr>
              <w:t xml:space="preserve">20.03. Suradnici će biti prim. </w:t>
            </w:r>
            <w:r w:rsidR="000D55B7">
              <w:rPr>
                <w:rFonts w:eastAsia="Verdana"/>
                <w:lang w:val="hr-HR"/>
              </w:rPr>
              <w:t>XY</w:t>
            </w:r>
            <w:r w:rsidRPr="007B2905">
              <w:rPr>
                <w:rFonts w:eastAsia="Verdana"/>
                <w:lang w:val="hr-HR"/>
              </w:rPr>
              <w:t xml:space="preserve">, dr. med. spec. radiolog. i </w:t>
            </w:r>
            <w:r w:rsidR="000D55B7">
              <w:rPr>
                <w:rFonts w:eastAsia="Verdana"/>
                <w:lang w:val="hr-HR"/>
              </w:rPr>
              <w:t>XXY</w:t>
            </w:r>
            <w:r w:rsidRPr="007B2905">
              <w:rPr>
                <w:rFonts w:eastAsia="Verdana"/>
                <w:lang w:val="hr-HR"/>
              </w:rPr>
              <w:t>, dr. med. spec. radiolog., a koji će kvalitativno ocijeniti radiološke slikovne prikaze.</w:t>
            </w:r>
          </w:p>
        </w:tc>
      </w:tr>
    </w:tbl>
    <w:p w:rsidR="002B3869" w:rsidRPr="007B2905" w:rsidRDefault="002B3869">
      <w:pPr>
        <w:rPr>
          <w:lang w:val="hr-HR"/>
        </w:rPr>
      </w:pPr>
    </w:p>
    <w:sectPr w:rsidR="002B3869" w:rsidRPr="007B2905" w:rsidSect="00433613">
      <w:pgSz w:w="11907" w:h="16840"/>
      <w:pgMar w:top="720" w:right="1440" w:bottom="720" w:left="1440" w:header="720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characterSpacingControl w:val="doNotCompress"/>
  <w:compat/>
  <w:rsids>
    <w:rsidRoot w:val="002B3869"/>
    <w:rsid w:val="00025B5B"/>
    <w:rsid w:val="00042C41"/>
    <w:rsid w:val="000458E4"/>
    <w:rsid w:val="0005675B"/>
    <w:rsid w:val="000610BB"/>
    <w:rsid w:val="00067269"/>
    <w:rsid w:val="000913CB"/>
    <w:rsid w:val="000930AD"/>
    <w:rsid w:val="00097315"/>
    <w:rsid w:val="000A29CD"/>
    <w:rsid w:val="000D3043"/>
    <w:rsid w:val="000D55B7"/>
    <w:rsid w:val="001265D1"/>
    <w:rsid w:val="00140B61"/>
    <w:rsid w:val="00170CE7"/>
    <w:rsid w:val="001B18A7"/>
    <w:rsid w:val="001B3C72"/>
    <w:rsid w:val="001D329B"/>
    <w:rsid w:val="001D3C98"/>
    <w:rsid w:val="001E0BFB"/>
    <w:rsid w:val="001E313F"/>
    <w:rsid w:val="001E4E53"/>
    <w:rsid w:val="001F486E"/>
    <w:rsid w:val="002018A9"/>
    <w:rsid w:val="00227048"/>
    <w:rsid w:val="00242501"/>
    <w:rsid w:val="00266203"/>
    <w:rsid w:val="002748C3"/>
    <w:rsid w:val="002862BE"/>
    <w:rsid w:val="00290273"/>
    <w:rsid w:val="002959BE"/>
    <w:rsid w:val="002A2872"/>
    <w:rsid w:val="002A6B96"/>
    <w:rsid w:val="002B148A"/>
    <w:rsid w:val="002B3869"/>
    <w:rsid w:val="002D1E06"/>
    <w:rsid w:val="002D346A"/>
    <w:rsid w:val="00322A52"/>
    <w:rsid w:val="00326E35"/>
    <w:rsid w:val="00335C1A"/>
    <w:rsid w:val="00350280"/>
    <w:rsid w:val="00361DDD"/>
    <w:rsid w:val="003A4DB4"/>
    <w:rsid w:val="003B37AF"/>
    <w:rsid w:val="003B4CD7"/>
    <w:rsid w:val="003B783D"/>
    <w:rsid w:val="003C2689"/>
    <w:rsid w:val="003C5EC4"/>
    <w:rsid w:val="003D257A"/>
    <w:rsid w:val="003E3563"/>
    <w:rsid w:val="003E3FD1"/>
    <w:rsid w:val="004025A7"/>
    <w:rsid w:val="00407B24"/>
    <w:rsid w:val="00426D74"/>
    <w:rsid w:val="00433550"/>
    <w:rsid w:val="00433613"/>
    <w:rsid w:val="00440643"/>
    <w:rsid w:val="0045154D"/>
    <w:rsid w:val="00464072"/>
    <w:rsid w:val="00471490"/>
    <w:rsid w:val="00472C75"/>
    <w:rsid w:val="0047326B"/>
    <w:rsid w:val="004747ED"/>
    <w:rsid w:val="00481862"/>
    <w:rsid w:val="004B6C8C"/>
    <w:rsid w:val="004C28BE"/>
    <w:rsid w:val="004D1068"/>
    <w:rsid w:val="004E33E1"/>
    <w:rsid w:val="004E68E2"/>
    <w:rsid w:val="004F286F"/>
    <w:rsid w:val="004F5674"/>
    <w:rsid w:val="005026A8"/>
    <w:rsid w:val="00516353"/>
    <w:rsid w:val="0052095B"/>
    <w:rsid w:val="00521854"/>
    <w:rsid w:val="005344BB"/>
    <w:rsid w:val="005408A5"/>
    <w:rsid w:val="005531C6"/>
    <w:rsid w:val="0056584A"/>
    <w:rsid w:val="00565BD6"/>
    <w:rsid w:val="005921D4"/>
    <w:rsid w:val="00597C46"/>
    <w:rsid w:val="005A0F72"/>
    <w:rsid w:val="005A23FB"/>
    <w:rsid w:val="005B03B2"/>
    <w:rsid w:val="005C7C99"/>
    <w:rsid w:val="005C7FF2"/>
    <w:rsid w:val="005D20A6"/>
    <w:rsid w:val="005D333C"/>
    <w:rsid w:val="005E04B1"/>
    <w:rsid w:val="005E45BF"/>
    <w:rsid w:val="005F2986"/>
    <w:rsid w:val="00630C24"/>
    <w:rsid w:val="006423F9"/>
    <w:rsid w:val="00656789"/>
    <w:rsid w:val="00663950"/>
    <w:rsid w:val="006769EE"/>
    <w:rsid w:val="00695CA8"/>
    <w:rsid w:val="006A07CB"/>
    <w:rsid w:val="006A3863"/>
    <w:rsid w:val="006A638E"/>
    <w:rsid w:val="006C6E18"/>
    <w:rsid w:val="006D45EE"/>
    <w:rsid w:val="006E7B6B"/>
    <w:rsid w:val="007016B0"/>
    <w:rsid w:val="00702FE5"/>
    <w:rsid w:val="00710F85"/>
    <w:rsid w:val="007122AF"/>
    <w:rsid w:val="0071361C"/>
    <w:rsid w:val="007448FD"/>
    <w:rsid w:val="007606DC"/>
    <w:rsid w:val="007704FA"/>
    <w:rsid w:val="007916DB"/>
    <w:rsid w:val="007B2905"/>
    <w:rsid w:val="007B3967"/>
    <w:rsid w:val="007E74DD"/>
    <w:rsid w:val="007F13E6"/>
    <w:rsid w:val="007F1B6F"/>
    <w:rsid w:val="00802147"/>
    <w:rsid w:val="00802E7D"/>
    <w:rsid w:val="0081039C"/>
    <w:rsid w:val="00870DA1"/>
    <w:rsid w:val="00897FBA"/>
    <w:rsid w:val="008B19E8"/>
    <w:rsid w:val="008C23D5"/>
    <w:rsid w:val="008D0BA0"/>
    <w:rsid w:val="008D17FD"/>
    <w:rsid w:val="008E1DB4"/>
    <w:rsid w:val="008F0039"/>
    <w:rsid w:val="00901C86"/>
    <w:rsid w:val="00911140"/>
    <w:rsid w:val="00920873"/>
    <w:rsid w:val="00935DDC"/>
    <w:rsid w:val="009424D4"/>
    <w:rsid w:val="00951289"/>
    <w:rsid w:val="009674E6"/>
    <w:rsid w:val="00992170"/>
    <w:rsid w:val="009938C7"/>
    <w:rsid w:val="00996534"/>
    <w:rsid w:val="009A56DC"/>
    <w:rsid w:val="009B68B9"/>
    <w:rsid w:val="009B766B"/>
    <w:rsid w:val="009D66CE"/>
    <w:rsid w:val="009D6E76"/>
    <w:rsid w:val="00A17D82"/>
    <w:rsid w:val="00A2320F"/>
    <w:rsid w:val="00A25952"/>
    <w:rsid w:val="00A30098"/>
    <w:rsid w:val="00A50425"/>
    <w:rsid w:val="00A67003"/>
    <w:rsid w:val="00A82E31"/>
    <w:rsid w:val="00A94A0A"/>
    <w:rsid w:val="00A96746"/>
    <w:rsid w:val="00AB61CC"/>
    <w:rsid w:val="00AC3672"/>
    <w:rsid w:val="00AC4B63"/>
    <w:rsid w:val="00AD5415"/>
    <w:rsid w:val="00AE1728"/>
    <w:rsid w:val="00AE245F"/>
    <w:rsid w:val="00AE66C4"/>
    <w:rsid w:val="00B10377"/>
    <w:rsid w:val="00B1163B"/>
    <w:rsid w:val="00B15BBB"/>
    <w:rsid w:val="00B250EC"/>
    <w:rsid w:val="00B43D1F"/>
    <w:rsid w:val="00B54371"/>
    <w:rsid w:val="00B5792E"/>
    <w:rsid w:val="00B60405"/>
    <w:rsid w:val="00B74ECB"/>
    <w:rsid w:val="00BA62A0"/>
    <w:rsid w:val="00BA7B8F"/>
    <w:rsid w:val="00BC196A"/>
    <w:rsid w:val="00BD6DDD"/>
    <w:rsid w:val="00BE0E6A"/>
    <w:rsid w:val="00BF1982"/>
    <w:rsid w:val="00C03B38"/>
    <w:rsid w:val="00C1502C"/>
    <w:rsid w:val="00C36C6C"/>
    <w:rsid w:val="00C4592B"/>
    <w:rsid w:val="00C5019B"/>
    <w:rsid w:val="00C56D2E"/>
    <w:rsid w:val="00C6617F"/>
    <w:rsid w:val="00C7390D"/>
    <w:rsid w:val="00C73E6D"/>
    <w:rsid w:val="00CA2E04"/>
    <w:rsid w:val="00CE1235"/>
    <w:rsid w:val="00CF0793"/>
    <w:rsid w:val="00CF2C5A"/>
    <w:rsid w:val="00D13B76"/>
    <w:rsid w:val="00D264EE"/>
    <w:rsid w:val="00D44F35"/>
    <w:rsid w:val="00D50846"/>
    <w:rsid w:val="00D53B83"/>
    <w:rsid w:val="00D553D6"/>
    <w:rsid w:val="00D62707"/>
    <w:rsid w:val="00D66A98"/>
    <w:rsid w:val="00D66C34"/>
    <w:rsid w:val="00D80E2D"/>
    <w:rsid w:val="00D82D2E"/>
    <w:rsid w:val="00D942D6"/>
    <w:rsid w:val="00DA4D6D"/>
    <w:rsid w:val="00DE4297"/>
    <w:rsid w:val="00DE550B"/>
    <w:rsid w:val="00E044DF"/>
    <w:rsid w:val="00E30D11"/>
    <w:rsid w:val="00E328B8"/>
    <w:rsid w:val="00E62908"/>
    <w:rsid w:val="00E9640E"/>
    <w:rsid w:val="00EA56FB"/>
    <w:rsid w:val="00EB1917"/>
    <w:rsid w:val="00ED2710"/>
    <w:rsid w:val="00ED5CCF"/>
    <w:rsid w:val="00EE0CEE"/>
    <w:rsid w:val="00EE466A"/>
    <w:rsid w:val="00EE4B25"/>
    <w:rsid w:val="00EE7C8A"/>
    <w:rsid w:val="00EF0A35"/>
    <w:rsid w:val="00F24740"/>
    <w:rsid w:val="00F32BFD"/>
    <w:rsid w:val="00F3428C"/>
    <w:rsid w:val="00F46CC3"/>
    <w:rsid w:val="00F56A56"/>
    <w:rsid w:val="00F570E3"/>
    <w:rsid w:val="00F76A18"/>
    <w:rsid w:val="00F933F8"/>
    <w:rsid w:val="00FA7973"/>
    <w:rsid w:val="00FC7FBC"/>
    <w:rsid w:val="00FD0400"/>
    <w:rsid w:val="00FD0707"/>
    <w:rsid w:val="00FD5337"/>
    <w:rsid w:val="00FF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6B96"/>
  </w:style>
  <w:style w:type="paragraph" w:styleId="Heading1">
    <w:name w:val="heading 1"/>
    <w:basedOn w:val="Normal"/>
    <w:next w:val="Normal"/>
    <w:rsid w:val="003B783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3B783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B783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B783D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3B783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3B783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B783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3B783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B783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4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E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E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E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E4E5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458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6B96"/>
  </w:style>
  <w:style w:type="paragraph" w:styleId="Naslov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74E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ECB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B74EC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74EC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74EC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74EC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74ECB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1E4E53"/>
    <w:rPr>
      <w:color w:val="0000FF" w:themeColor="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0458E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medcentral.com/bmcmedimaging/authors/instruc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.ubc.ca/~rollin/stats/ssiz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FD19C-5BD3-4C97-91DF-C29C8F79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2293</Words>
  <Characters>13076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Radanovic</dc:creator>
  <cp:lastModifiedBy>Matko Marušić</cp:lastModifiedBy>
  <cp:revision>6</cp:revision>
  <dcterms:created xsi:type="dcterms:W3CDTF">2016-11-03T13:26:00Z</dcterms:created>
  <dcterms:modified xsi:type="dcterms:W3CDTF">2016-11-03T14:03:00Z</dcterms:modified>
</cp:coreProperties>
</file>